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07" w:type="dxa"/>
        <w:jc w:val="center"/>
        <w:tblInd w:w="219" w:type="dxa"/>
        <w:tblLayout w:type="fixed"/>
        <w:tblCellMar>
          <w:left w:w="70" w:type="dxa"/>
          <w:right w:w="70" w:type="dxa"/>
        </w:tblCellMar>
        <w:tblLook w:val="0000"/>
      </w:tblPr>
      <w:tblGrid>
        <w:gridCol w:w="8007"/>
      </w:tblGrid>
      <w:tr w:rsidR="00616401" w:rsidRPr="00E22007" w:rsidTr="00236A92">
        <w:trPr>
          <w:trHeight w:val="80"/>
          <w:jc w:val="center"/>
        </w:trPr>
        <w:tc>
          <w:tcPr>
            <w:tcW w:w="8007" w:type="dxa"/>
            <w:vAlign w:val="center"/>
          </w:tcPr>
          <w:p w:rsidR="00616401" w:rsidRDefault="00B34D9B" w:rsidP="00616401">
            <w:pPr>
              <w:pStyle w:val="Heading1"/>
              <w:jc w:val="center"/>
              <w:rPr>
                <w:rFonts w:eastAsia="Arial Unicode MS" w:cs="Arial"/>
                <w:sz w:val="24"/>
                <w:szCs w:val="24"/>
              </w:rPr>
            </w:pPr>
            <w:r w:rsidRPr="00B34D9B">
              <w:rPr>
                <w:rFonts w:eastAsia="Arial Unicode MS" w:cs="Arial"/>
                <w:noProof/>
                <w:sz w:val="24"/>
                <w:szCs w:val="24"/>
                <w:lang w:eastAsia="el-GR"/>
              </w:rPr>
              <w:drawing>
                <wp:inline distT="0" distB="0" distL="0" distR="0">
                  <wp:extent cx="591185" cy="609600"/>
                  <wp:effectExtent l="19050" t="0" r="0" b="0"/>
                  <wp:docPr id="4" name="Picture 3" descr="Pantone 431 GREY"/>
                  <wp:cNvGraphicFramePr/>
                  <a:graphic xmlns:a="http://schemas.openxmlformats.org/drawingml/2006/main">
                    <a:graphicData uri="http://schemas.openxmlformats.org/drawingml/2006/picture">
                      <pic:pic xmlns:pic="http://schemas.openxmlformats.org/drawingml/2006/picture">
                        <pic:nvPicPr>
                          <pic:cNvPr id="0" name="Picture 1" descr="Pantone 431 GREY"/>
                          <pic:cNvPicPr>
                            <a:picLocks noChangeAspect="1" noChangeArrowheads="1"/>
                          </pic:cNvPicPr>
                        </pic:nvPicPr>
                        <pic:blipFill>
                          <a:blip r:embed="rId8" cstate="print"/>
                          <a:srcRect/>
                          <a:stretch>
                            <a:fillRect/>
                          </a:stretch>
                        </pic:blipFill>
                        <pic:spPr bwMode="auto">
                          <a:xfrm>
                            <a:off x="0" y="0"/>
                            <a:ext cx="591185" cy="609600"/>
                          </a:xfrm>
                          <a:prstGeom prst="rect">
                            <a:avLst/>
                          </a:prstGeom>
                          <a:noFill/>
                          <a:ln w="9525">
                            <a:noFill/>
                            <a:miter lim="800000"/>
                            <a:headEnd/>
                            <a:tailEnd/>
                          </a:ln>
                        </pic:spPr>
                      </pic:pic>
                    </a:graphicData>
                  </a:graphic>
                </wp:inline>
              </w:drawing>
            </w:r>
          </w:p>
          <w:p w:rsidR="00B34D9B" w:rsidRPr="00E22007" w:rsidRDefault="00B34D9B" w:rsidP="00B34D9B">
            <w:pPr>
              <w:overflowPunct w:val="0"/>
              <w:autoSpaceDE w:val="0"/>
              <w:autoSpaceDN w:val="0"/>
              <w:adjustRightInd w:val="0"/>
              <w:contextualSpacing/>
              <w:jc w:val="center"/>
              <w:rPr>
                <w:rFonts w:ascii="Arial" w:hAnsi="Arial" w:cs="Arial"/>
              </w:rPr>
            </w:pPr>
            <w:r w:rsidRPr="00E22007">
              <w:rPr>
                <w:rFonts w:ascii="Arial" w:hAnsi="Arial" w:cs="Arial"/>
              </w:rPr>
              <w:t>ΚΥΠΡΙΑΚΗ  ΔΗΜΟΚΡΑΤΙΑ</w:t>
            </w:r>
          </w:p>
          <w:p w:rsidR="00B34D9B" w:rsidRPr="00E22007" w:rsidRDefault="00B34D9B" w:rsidP="00B34D9B">
            <w:pPr>
              <w:overflowPunct w:val="0"/>
              <w:autoSpaceDE w:val="0"/>
              <w:autoSpaceDN w:val="0"/>
              <w:adjustRightInd w:val="0"/>
              <w:contextualSpacing/>
              <w:jc w:val="center"/>
            </w:pPr>
            <w:r w:rsidRPr="00E22007">
              <w:rPr>
                <w:rFonts w:ascii="Arial" w:hAnsi="Arial" w:cs="Arial"/>
              </w:rPr>
              <w:t>ΥΠΟΥΡΓΕΙΟ ΣΥΓΚΟΙΝΩΝΙΩΝ ΚΑΙ ΕΡΓΩΝ</w:t>
            </w:r>
          </w:p>
          <w:p w:rsidR="00B34D9B" w:rsidRPr="00B34D9B" w:rsidRDefault="00B34D9B" w:rsidP="00B34D9B">
            <w:pPr>
              <w:jc w:val="center"/>
            </w:pPr>
          </w:p>
        </w:tc>
      </w:tr>
    </w:tbl>
    <w:p w:rsidR="000602AA" w:rsidRPr="000602AA" w:rsidRDefault="000602AA" w:rsidP="00640CA3">
      <w:pPr>
        <w:jc w:val="center"/>
        <w:rPr>
          <w:rFonts w:cs="Tahoma"/>
          <w:b/>
          <w:sz w:val="24"/>
          <w:szCs w:val="24"/>
        </w:rPr>
      </w:pPr>
      <w:r w:rsidRPr="000602AA">
        <w:rPr>
          <w:rFonts w:cs="Tahoma"/>
          <w:b/>
          <w:sz w:val="24"/>
          <w:szCs w:val="24"/>
        </w:rPr>
        <w:t>ΔΗΜΟΣΙΟΓΡΑΦΙΚΗ ΔΙΑΣΚΕΨΗ – 17 ΙΑΝ 2013</w:t>
      </w:r>
    </w:p>
    <w:p w:rsidR="00977FAC" w:rsidRPr="000602AA" w:rsidRDefault="006852D5" w:rsidP="00640CA3">
      <w:pPr>
        <w:jc w:val="center"/>
        <w:rPr>
          <w:rFonts w:cs="Tahoma"/>
          <w:b/>
          <w:sz w:val="28"/>
          <w:szCs w:val="28"/>
        </w:rPr>
      </w:pPr>
      <w:r w:rsidRPr="000602AA">
        <w:rPr>
          <w:rFonts w:cs="Tahoma"/>
          <w:b/>
          <w:sz w:val="28"/>
          <w:szCs w:val="28"/>
        </w:rPr>
        <w:t xml:space="preserve">ΚΥΠΡΙΑΚΗ ΠΡΟΕΔΡΙΑ ΤΟΥ ΣΥΜΒΟΥΛΙΟΥ ΤΗΣ ΕΕ ΚΑΙ </w:t>
      </w:r>
    </w:p>
    <w:p w:rsidR="00D83FCB" w:rsidRPr="000602AA" w:rsidRDefault="006852D5" w:rsidP="00640CA3">
      <w:pPr>
        <w:jc w:val="center"/>
        <w:rPr>
          <w:rFonts w:cs="Tahoma"/>
          <w:b/>
          <w:sz w:val="28"/>
          <w:szCs w:val="28"/>
        </w:rPr>
      </w:pPr>
      <w:r w:rsidRPr="000602AA">
        <w:rPr>
          <w:rFonts w:cs="Tahoma"/>
          <w:b/>
          <w:sz w:val="28"/>
          <w:szCs w:val="28"/>
        </w:rPr>
        <w:t>ΥΠΟΥΡΓΕΙΟ ΣΥΓΚΟΙΝΩΝΙΩΝ ΚΑΙ ΕΡΓΩΝ</w:t>
      </w:r>
    </w:p>
    <w:p w:rsidR="00974EE1" w:rsidRDefault="00EF5831" w:rsidP="00737E71">
      <w:pPr>
        <w:pStyle w:val="ListParagraph"/>
        <w:ind w:left="1080" w:hanging="1080"/>
        <w:jc w:val="center"/>
        <w:rPr>
          <w:rFonts w:cs="Tahoma"/>
          <w:b/>
          <w:i/>
          <w:sz w:val="28"/>
          <w:szCs w:val="28"/>
        </w:rPr>
      </w:pPr>
      <w:r>
        <w:rPr>
          <w:rFonts w:cs="Tahoma"/>
          <w:b/>
          <w:i/>
          <w:sz w:val="28"/>
          <w:szCs w:val="28"/>
        </w:rPr>
        <w:t xml:space="preserve">Παρουσίαση </w:t>
      </w:r>
      <w:r w:rsidR="00974EE1">
        <w:rPr>
          <w:rFonts w:cs="Tahoma"/>
          <w:b/>
          <w:i/>
          <w:sz w:val="28"/>
          <w:szCs w:val="28"/>
        </w:rPr>
        <w:t xml:space="preserve">Συνεισφοράς Υπουργείου </w:t>
      </w:r>
    </w:p>
    <w:p w:rsidR="00737E71" w:rsidRDefault="00974EE1" w:rsidP="00737E71">
      <w:pPr>
        <w:pStyle w:val="ListParagraph"/>
        <w:ind w:left="1080" w:hanging="1080"/>
        <w:jc w:val="center"/>
        <w:rPr>
          <w:rFonts w:cs="Tahoma"/>
          <w:b/>
          <w:i/>
          <w:sz w:val="28"/>
          <w:szCs w:val="28"/>
        </w:rPr>
      </w:pPr>
      <w:r>
        <w:rPr>
          <w:rFonts w:cs="Tahoma"/>
          <w:b/>
          <w:i/>
          <w:sz w:val="28"/>
          <w:szCs w:val="28"/>
        </w:rPr>
        <w:t>(Υποδομές – Μεταφορές – Προβολή Πολιτιστικής Κληρονομιάς)</w:t>
      </w:r>
    </w:p>
    <w:p w:rsidR="00EF5831" w:rsidRPr="00974EE1" w:rsidRDefault="00EF5831" w:rsidP="00974EE1">
      <w:pPr>
        <w:pStyle w:val="ListParagraph"/>
        <w:ind w:left="1080" w:hanging="1080"/>
        <w:jc w:val="center"/>
        <w:rPr>
          <w:rFonts w:cs="Tahoma"/>
          <w:b/>
          <w:i/>
          <w:sz w:val="28"/>
          <w:szCs w:val="28"/>
        </w:rPr>
      </w:pPr>
      <w:r>
        <w:rPr>
          <w:rFonts w:cs="Tahoma"/>
          <w:b/>
          <w:i/>
          <w:sz w:val="28"/>
          <w:szCs w:val="28"/>
        </w:rPr>
        <w:t xml:space="preserve">Ομιλία </w:t>
      </w:r>
      <w:r w:rsidR="00974EE1">
        <w:rPr>
          <w:rFonts w:cs="Tahoma"/>
          <w:b/>
          <w:i/>
          <w:sz w:val="28"/>
          <w:szCs w:val="28"/>
        </w:rPr>
        <w:t>Γενικού Διευθυντή</w:t>
      </w:r>
      <w:r>
        <w:rPr>
          <w:rFonts w:cs="Tahoma"/>
          <w:b/>
          <w:i/>
          <w:sz w:val="28"/>
          <w:szCs w:val="28"/>
        </w:rPr>
        <w:t xml:space="preserve"> </w:t>
      </w:r>
      <w:r w:rsidRPr="00974EE1">
        <w:rPr>
          <w:rFonts w:cs="Tahoma"/>
          <w:b/>
          <w:i/>
          <w:sz w:val="28"/>
          <w:szCs w:val="28"/>
        </w:rPr>
        <w:t xml:space="preserve">κ. </w:t>
      </w:r>
      <w:r w:rsidR="00974EE1" w:rsidRPr="00974EE1">
        <w:rPr>
          <w:rFonts w:cs="Tahoma"/>
          <w:b/>
          <w:i/>
          <w:sz w:val="28"/>
          <w:szCs w:val="28"/>
        </w:rPr>
        <w:t>Αλέκου Μιχαηλίδη</w:t>
      </w:r>
    </w:p>
    <w:p w:rsidR="00737E71" w:rsidRPr="00737E71" w:rsidRDefault="00737E71" w:rsidP="00737E71">
      <w:pPr>
        <w:spacing w:after="0" w:line="240" w:lineRule="auto"/>
        <w:jc w:val="both"/>
        <w:rPr>
          <w:rFonts w:cs="Tahoma"/>
          <w:sz w:val="24"/>
          <w:szCs w:val="24"/>
        </w:rPr>
      </w:pPr>
    </w:p>
    <w:p w:rsidR="00977FAC" w:rsidRPr="00737E71" w:rsidRDefault="00977FAC" w:rsidP="00737E71">
      <w:pPr>
        <w:spacing w:after="0" w:line="240" w:lineRule="auto"/>
        <w:jc w:val="both"/>
        <w:rPr>
          <w:rFonts w:cs="Tahoma"/>
          <w:sz w:val="24"/>
          <w:szCs w:val="24"/>
        </w:rPr>
      </w:pPr>
      <w:r w:rsidRPr="00737E71">
        <w:rPr>
          <w:rFonts w:cs="Tahoma"/>
          <w:sz w:val="24"/>
          <w:szCs w:val="24"/>
        </w:rPr>
        <w:t>Αγαπητοί εκπρόσωποι των ΜΜΕ,</w:t>
      </w:r>
    </w:p>
    <w:p w:rsidR="00737E71" w:rsidRPr="00737E71" w:rsidRDefault="00737E71" w:rsidP="00737E71">
      <w:pPr>
        <w:pStyle w:val="ListParagraph"/>
        <w:spacing w:after="0" w:line="240" w:lineRule="auto"/>
        <w:ind w:left="0"/>
        <w:jc w:val="both"/>
        <w:rPr>
          <w:rFonts w:cs="Tahoma"/>
          <w:sz w:val="24"/>
          <w:szCs w:val="24"/>
        </w:rPr>
      </w:pPr>
    </w:p>
    <w:p w:rsidR="00977FAC" w:rsidRPr="00737E71" w:rsidRDefault="00977FAC" w:rsidP="00737E71">
      <w:pPr>
        <w:pStyle w:val="ListParagraph"/>
        <w:spacing w:after="0" w:line="240" w:lineRule="auto"/>
        <w:ind w:left="0"/>
        <w:jc w:val="both"/>
        <w:rPr>
          <w:rFonts w:cs="Tahoma"/>
          <w:sz w:val="24"/>
          <w:szCs w:val="24"/>
        </w:rPr>
      </w:pPr>
      <w:r w:rsidRPr="00737E71">
        <w:rPr>
          <w:rFonts w:cs="Tahoma"/>
          <w:sz w:val="24"/>
          <w:szCs w:val="24"/>
        </w:rPr>
        <w:t xml:space="preserve">Σας καλωσορίζω και εγώ με τη σειρά μου στη </w:t>
      </w:r>
      <w:r w:rsidR="00EC16E5">
        <w:rPr>
          <w:rFonts w:cs="Tahoma"/>
          <w:sz w:val="24"/>
          <w:szCs w:val="24"/>
        </w:rPr>
        <w:t xml:space="preserve">σημερινή </w:t>
      </w:r>
      <w:r w:rsidRPr="00737E71">
        <w:rPr>
          <w:rFonts w:cs="Tahoma"/>
          <w:sz w:val="24"/>
          <w:szCs w:val="24"/>
        </w:rPr>
        <w:t>δημοσιογραφική διάσκεψη.</w:t>
      </w:r>
    </w:p>
    <w:p w:rsidR="0051790B" w:rsidRDefault="0051790B" w:rsidP="00737E71">
      <w:pPr>
        <w:pStyle w:val="ListParagraph"/>
        <w:spacing w:after="0" w:line="240" w:lineRule="auto"/>
        <w:ind w:left="0"/>
        <w:jc w:val="both"/>
        <w:rPr>
          <w:rFonts w:cs="Tahoma"/>
          <w:sz w:val="24"/>
          <w:szCs w:val="24"/>
        </w:rPr>
      </w:pPr>
    </w:p>
    <w:p w:rsidR="00977FAC" w:rsidRPr="00737E71" w:rsidRDefault="00977FAC" w:rsidP="00737E71">
      <w:pPr>
        <w:pStyle w:val="ListParagraph"/>
        <w:spacing w:after="0" w:line="240" w:lineRule="auto"/>
        <w:ind w:left="0"/>
        <w:jc w:val="both"/>
        <w:rPr>
          <w:rFonts w:cs="Tahoma"/>
          <w:sz w:val="24"/>
          <w:szCs w:val="24"/>
        </w:rPr>
      </w:pPr>
      <w:r w:rsidRPr="00737E71">
        <w:rPr>
          <w:rFonts w:cs="Tahoma"/>
          <w:sz w:val="24"/>
          <w:szCs w:val="24"/>
        </w:rPr>
        <w:t>Όπως ανέφερε ήδη και ο κ. Υπουργός η συνεισφορά του Υπουργείου μας στην επιτυχημένη άσκηση της Κυπριακής Προεδρίας υπήρξε ουσιαστική και πολύπλευρη.</w:t>
      </w:r>
    </w:p>
    <w:p w:rsidR="00977FAC" w:rsidRPr="00737E71" w:rsidRDefault="00977FAC" w:rsidP="00737E71">
      <w:pPr>
        <w:pStyle w:val="ListParagraph"/>
        <w:spacing w:after="0" w:line="240" w:lineRule="auto"/>
        <w:ind w:left="0"/>
        <w:jc w:val="both"/>
        <w:rPr>
          <w:rFonts w:cs="Tahoma"/>
          <w:sz w:val="24"/>
          <w:szCs w:val="24"/>
        </w:rPr>
      </w:pPr>
    </w:p>
    <w:p w:rsidR="00E65580" w:rsidRPr="00737E71" w:rsidRDefault="00E65580" w:rsidP="00737E71">
      <w:pPr>
        <w:spacing w:after="0" w:line="240" w:lineRule="auto"/>
        <w:jc w:val="both"/>
        <w:rPr>
          <w:rFonts w:cs="Tahoma"/>
          <w:sz w:val="24"/>
          <w:szCs w:val="24"/>
        </w:rPr>
      </w:pPr>
      <w:r w:rsidRPr="00737E71">
        <w:rPr>
          <w:rFonts w:cs="Tahoma"/>
          <w:sz w:val="24"/>
          <w:szCs w:val="24"/>
        </w:rPr>
        <w:t xml:space="preserve">Το Υπουργείο Συγκοινωνιών και Έργων είχε πρωταγωνιστικό ρόλο στην υλοποίηση των υποδομών που απαιτούνται για την επιτυχή διοργάνωση των Υπουργικών και όλων των άλλων συναντήσεων που διοργανώθηκαν επί Κυπριακής Προεδρίας.  </w:t>
      </w:r>
    </w:p>
    <w:p w:rsidR="00737E71" w:rsidRPr="0026327B" w:rsidRDefault="00737E71" w:rsidP="00737E71">
      <w:pPr>
        <w:spacing w:after="0" w:line="240" w:lineRule="auto"/>
        <w:jc w:val="both"/>
        <w:rPr>
          <w:rFonts w:cs="Tahoma"/>
          <w:sz w:val="24"/>
          <w:szCs w:val="24"/>
        </w:rPr>
      </w:pPr>
    </w:p>
    <w:p w:rsidR="0051790B" w:rsidRPr="0026327B" w:rsidRDefault="00E65580" w:rsidP="00737E71">
      <w:pPr>
        <w:spacing w:after="0" w:line="240" w:lineRule="auto"/>
        <w:jc w:val="both"/>
        <w:rPr>
          <w:rFonts w:cs="Tahoma"/>
          <w:sz w:val="24"/>
          <w:szCs w:val="24"/>
        </w:rPr>
      </w:pPr>
      <w:r w:rsidRPr="00737E71">
        <w:rPr>
          <w:rFonts w:cs="Tahoma"/>
          <w:sz w:val="24"/>
          <w:szCs w:val="24"/>
        </w:rPr>
        <w:t>Συγκεκριμένα, το Τμήμα Δημοσίων Έργων του Υπουργείου μας είχε την ευθύνη της εκ βάθρων ανακαίνισης του Συνεδριακού Κέντρου η οποία ολοκληρώθηκε εντός των χρονοδιαγραμμάτων.  Στο Συνεδριακό Κέντρο “Φιλοξενία”, φιλοξενήθηκε η συντριπτική πλειοψηφία των</w:t>
      </w:r>
      <w:r w:rsidR="005E5C72" w:rsidRPr="00737E71">
        <w:rPr>
          <w:rFonts w:cs="Tahoma"/>
          <w:sz w:val="24"/>
          <w:szCs w:val="24"/>
        </w:rPr>
        <w:t xml:space="preserve"> συναντήσεων που πραγματοποιήθηκαν επί Κυπριακής Προεδρίας</w:t>
      </w:r>
      <w:r w:rsidR="00296487" w:rsidRPr="00737E71">
        <w:rPr>
          <w:rFonts w:cs="Tahoma"/>
          <w:sz w:val="24"/>
          <w:szCs w:val="24"/>
        </w:rPr>
        <w:t>.</w:t>
      </w:r>
      <w:r w:rsidR="005E5C72" w:rsidRPr="00737E71">
        <w:rPr>
          <w:rFonts w:cs="Tahoma"/>
          <w:sz w:val="24"/>
          <w:szCs w:val="24"/>
        </w:rPr>
        <w:t xml:space="preserve"> </w:t>
      </w:r>
      <w:r w:rsidR="00296487" w:rsidRPr="00737E71">
        <w:rPr>
          <w:rFonts w:cs="Tahoma"/>
          <w:sz w:val="24"/>
          <w:szCs w:val="24"/>
        </w:rPr>
        <w:t xml:space="preserve">Επιπρόσθετα </w:t>
      </w:r>
      <w:r w:rsidR="005E5C72" w:rsidRPr="00737E71">
        <w:rPr>
          <w:rFonts w:cs="Tahoma"/>
          <w:sz w:val="24"/>
          <w:szCs w:val="24"/>
        </w:rPr>
        <w:t>δημιουργήθηκε</w:t>
      </w:r>
      <w:r w:rsidR="003C6778" w:rsidRPr="00737E71">
        <w:rPr>
          <w:rFonts w:cs="Tahoma"/>
          <w:sz w:val="24"/>
          <w:szCs w:val="24"/>
        </w:rPr>
        <w:t xml:space="preserve"> </w:t>
      </w:r>
      <w:r w:rsidR="00296487" w:rsidRPr="00737E71">
        <w:rPr>
          <w:rFonts w:cs="Tahoma"/>
          <w:sz w:val="24"/>
          <w:szCs w:val="24"/>
        </w:rPr>
        <w:t xml:space="preserve">το  Κέντρο Τύπου </w:t>
      </w:r>
      <w:r w:rsidR="008B196B" w:rsidRPr="00737E71">
        <w:rPr>
          <w:rFonts w:cs="Tahoma"/>
          <w:sz w:val="24"/>
          <w:szCs w:val="24"/>
        </w:rPr>
        <w:t xml:space="preserve">σε Τμήμα </w:t>
      </w:r>
      <w:r w:rsidR="0051790B">
        <w:rPr>
          <w:rFonts w:cs="Tahoma"/>
          <w:sz w:val="24"/>
          <w:szCs w:val="24"/>
        </w:rPr>
        <w:t xml:space="preserve">του Ξενοδοχείου </w:t>
      </w:r>
      <w:r w:rsidR="0051790B" w:rsidRPr="0051790B">
        <w:rPr>
          <w:rFonts w:cs="Tahoma"/>
          <w:sz w:val="24"/>
          <w:szCs w:val="24"/>
        </w:rPr>
        <w:t>“</w:t>
      </w:r>
      <w:r w:rsidR="0051790B">
        <w:rPr>
          <w:rFonts w:cs="Tahoma"/>
          <w:sz w:val="24"/>
          <w:szCs w:val="24"/>
        </w:rPr>
        <w:t>Φιλοξ</w:t>
      </w:r>
      <w:r w:rsidR="00EC16E5">
        <w:rPr>
          <w:rFonts w:cs="Tahoma"/>
          <w:sz w:val="24"/>
          <w:szCs w:val="24"/>
        </w:rPr>
        <w:t>ενί</w:t>
      </w:r>
      <w:r w:rsidR="0051790B">
        <w:rPr>
          <w:rFonts w:cs="Tahoma"/>
          <w:sz w:val="24"/>
          <w:szCs w:val="24"/>
        </w:rPr>
        <w:t>α</w:t>
      </w:r>
      <w:r w:rsidR="0051790B" w:rsidRPr="0051790B">
        <w:rPr>
          <w:rFonts w:cs="Tahoma"/>
          <w:sz w:val="24"/>
          <w:szCs w:val="24"/>
        </w:rPr>
        <w:t xml:space="preserve">” </w:t>
      </w:r>
      <w:r w:rsidR="003C6778" w:rsidRPr="00737E71">
        <w:rPr>
          <w:rFonts w:cs="Tahoma"/>
          <w:sz w:val="24"/>
          <w:szCs w:val="24"/>
        </w:rPr>
        <w:t>για να καλύψει τις ανάγκες</w:t>
      </w:r>
      <w:r w:rsidR="00524ED2" w:rsidRPr="00737E71">
        <w:rPr>
          <w:rFonts w:cs="Tahoma"/>
          <w:sz w:val="24"/>
          <w:szCs w:val="24"/>
        </w:rPr>
        <w:t xml:space="preserve"> των ξένων </w:t>
      </w:r>
      <w:r w:rsidR="00296487" w:rsidRPr="00737E71">
        <w:rPr>
          <w:rFonts w:cs="Tahoma"/>
          <w:sz w:val="24"/>
          <w:szCs w:val="24"/>
        </w:rPr>
        <w:t xml:space="preserve">ανταποκριτών </w:t>
      </w:r>
      <w:r w:rsidR="00524ED2" w:rsidRPr="00737E71">
        <w:rPr>
          <w:rFonts w:cs="Tahoma"/>
          <w:sz w:val="24"/>
          <w:szCs w:val="24"/>
        </w:rPr>
        <w:t xml:space="preserve">και </w:t>
      </w:r>
      <w:r w:rsidR="00296487" w:rsidRPr="00737E71">
        <w:rPr>
          <w:rFonts w:cs="Tahoma"/>
          <w:sz w:val="24"/>
          <w:szCs w:val="24"/>
        </w:rPr>
        <w:t xml:space="preserve">των </w:t>
      </w:r>
      <w:r w:rsidR="00524ED2" w:rsidRPr="00737E71">
        <w:rPr>
          <w:rFonts w:cs="Tahoma"/>
          <w:sz w:val="24"/>
          <w:szCs w:val="24"/>
        </w:rPr>
        <w:t xml:space="preserve">ντόπιων </w:t>
      </w:r>
      <w:r w:rsidR="00296487" w:rsidRPr="00737E71">
        <w:rPr>
          <w:rFonts w:cs="Tahoma"/>
          <w:sz w:val="24"/>
          <w:szCs w:val="24"/>
        </w:rPr>
        <w:t xml:space="preserve">εκπροσώπων των μέσων μαζικής ενημέρωσης.  </w:t>
      </w:r>
    </w:p>
    <w:p w:rsidR="0051790B" w:rsidRPr="0026327B" w:rsidRDefault="0051790B" w:rsidP="00737E71">
      <w:pPr>
        <w:spacing w:after="0" w:line="240" w:lineRule="auto"/>
        <w:jc w:val="both"/>
        <w:rPr>
          <w:rFonts w:cs="Tahoma"/>
          <w:sz w:val="24"/>
          <w:szCs w:val="24"/>
        </w:rPr>
      </w:pPr>
    </w:p>
    <w:p w:rsidR="00296487" w:rsidRDefault="000B22AB" w:rsidP="00737E71">
      <w:pPr>
        <w:spacing w:after="0" w:line="240" w:lineRule="auto"/>
        <w:jc w:val="both"/>
        <w:rPr>
          <w:rFonts w:cs="Tahoma"/>
          <w:sz w:val="24"/>
          <w:szCs w:val="24"/>
        </w:rPr>
      </w:pPr>
      <w:r>
        <w:rPr>
          <w:rFonts w:cs="Tahoma"/>
          <w:sz w:val="24"/>
          <w:szCs w:val="24"/>
        </w:rPr>
        <w:t>Το Συνεδριακό Κέντρο ανταποκρίθηκε</w:t>
      </w:r>
      <w:r w:rsidR="00296487" w:rsidRPr="00737E71">
        <w:rPr>
          <w:rFonts w:cs="Tahoma"/>
          <w:sz w:val="24"/>
          <w:szCs w:val="24"/>
        </w:rPr>
        <w:t xml:space="preserve"> απόλυτα στις απαιτήσεις των </w:t>
      </w:r>
      <w:r w:rsidR="0051790B">
        <w:rPr>
          <w:rFonts w:cs="Tahoma"/>
          <w:sz w:val="24"/>
          <w:szCs w:val="24"/>
        </w:rPr>
        <w:t>Υπουργικών Συναντήσεων</w:t>
      </w:r>
      <w:r w:rsidR="00296487" w:rsidRPr="00737E71">
        <w:rPr>
          <w:rFonts w:cs="Tahoma"/>
          <w:sz w:val="24"/>
          <w:szCs w:val="24"/>
        </w:rPr>
        <w:t xml:space="preserve"> και των</w:t>
      </w:r>
      <w:r w:rsidR="0051790B">
        <w:rPr>
          <w:rFonts w:cs="Tahoma"/>
          <w:sz w:val="24"/>
          <w:szCs w:val="24"/>
        </w:rPr>
        <w:t xml:space="preserve"> άλλων υψηλού επιπέδου</w:t>
      </w:r>
      <w:r w:rsidR="00296487" w:rsidRPr="00737E71">
        <w:rPr>
          <w:rFonts w:cs="Tahoma"/>
          <w:sz w:val="24"/>
          <w:szCs w:val="24"/>
        </w:rPr>
        <w:t xml:space="preserve"> Συνεδρίων, ενώ τα εγκωμιαστικά σχόλια  των Συνέδρων </w:t>
      </w:r>
      <w:r w:rsidR="008B196B" w:rsidRPr="00737E71">
        <w:rPr>
          <w:rFonts w:cs="Tahoma"/>
          <w:sz w:val="24"/>
          <w:szCs w:val="24"/>
        </w:rPr>
        <w:t xml:space="preserve">και των δημοσιογράφων </w:t>
      </w:r>
      <w:r w:rsidR="00296487" w:rsidRPr="00737E71">
        <w:rPr>
          <w:rFonts w:cs="Tahoma"/>
          <w:sz w:val="24"/>
          <w:szCs w:val="24"/>
        </w:rPr>
        <w:t xml:space="preserve">συνηγορούν στο γεγονός ότι οι κτηριακές υποδομές </w:t>
      </w:r>
      <w:r w:rsidR="00535D2D">
        <w:rPr>
          <w:rFonts w:cs="Tahoma"/>
          <w:sz w:val="24"/>
          <w:szCs w:val="24"/>
        </w:rPr>
        <w:t xml:space="preserve">και ο εξοπλισμός τους με συστήματα τελευταίας τεχνολογίας </w:t>
      </w:r>
      <w:r w:rsidR="008B196B" w:rsidRPr="00737E71">
        <w:rPr>
          <w:rFonts w:cs="Tahoma"/>
          <w:sz w:val="24"/>
          <w:szCs w:val="24"/>
        </w:rPr>
        <w:t>άφησαν σε όλους εξαιρετικές εντυπώσεις</w:t>
      </w:r>
      <w:r w:rsidR="00296487" w:rsidRPr="00737E71">
        <w:rPr>
          <w:rFonts w:cs="Tahoma"/>
          <w:sz w:val="24"/>
          <w:szCs w:val="24"/>
        </w:rPr>
        <w:t>.</w:t>
      </w:r>
    </w:p>
    <w:p w:rsidR="00EC16E5" w:rsidRDefault="00EC16E5" w:rsidP="000B22AB">
      <w:pPr>
        <w:spacing w:after="0" w:line="240" w:lineRule="auto"/>
        <w:jc w:val="both"/>
        <w:rPr>
          <w:rFonts w:cs="Tahoma"/>
          <w:sz w:val="24"/>
          <w:szCs w:val="24"/>
        </w:rPr>
      </w:pPr>
    </w:p>
    <w:p w:rsidR="000B22AB" w:rsidRPr="000B22AB" w:rsidRDefault="00EC16E5" w:rsidP="000B22AB">
      <w:pPr>
        <w:spacing w:after="0" w:line="240" w:lineRule="auto"/>
        <w:jc w:val="both"/>
        <w:rPr>
          <w:rFonts w:cs="Tahoma"/>
          <w:sz w:val="24"/>
          <w:szCs w:val="24"/>
        </w:rPr>
      </w:pPr>
      <w:r>
        <w:rPr>
          <w:rFonts w:cs="Tahoma"/>
          <w:sz w:val="24"/>
          <w:szCs w:val="24"/>
        </w:rPr>
        <w:t>Τ</w:t>
      </w:r>
      <w:r w:rsidR="000B22AB" w:rsidRPr="000B22AB">
        <w:rPr>
          <w:rFonts w:cs="Tahoma"/>
          <w:sz w:val="24"/>
          <w:szCs w:val="24"/>
        </w:rPr>
        <w:t xml:space="preserve">ο Τμήμα Δημοσίων Έργων προώθησε </w:t>
      </w:r>
      <w:r w:rsidR="00535D2D">
        <w:rPr>
          <w:rFonts w:cs="Tahoma"/>
          <w:sz w:val="24"/>
          <w:szCs w:val="24"/>
        </w:rPr>
        <w:t xml:space="preserve">επίσης </w:t>
      </w:r>
      <w:r w:rsidR="000B22AB" w:rsidRPr="000B22AB">
        <w:rPr>
          <w:rFonts w:cs="Tahoma"/>
          <w:sz w:val="24"/>
          <w:szCs w:val="24"/>
        </w:rPr>
        <w:t xml:space="preserve">την κατασκευή της Αίθουσας Εκδηλώσεων του Προεδρικού Μεγάρου με τη μέθοδο μελέτης - κατασκευής σε χρονικό διάστημα 11 μηνών όπως </w:t>
      </w:r>
      <w:proofErr w:type="spellStart"/>
      <w:r w:rsidR="000B22AB" w:rsidRPr="000B22AB">
        <w:rPr>
          <w:rFonts w:cs="Tahoma"/>
          <w:sz w:val="24"/>
          <w:szCs w:val="24"/>
        </w:rPr>
        <w:t>προνο</w:t>
      </w:r>
      <w:r w:rsidR="0051790B">
        <w:rPr>
          <w:rFonts w:cs="Tahoma"/>
          <w:sz w:val="24"/>
          <w:szCs w:val="24"/>
        </w:rPr>
        <w:t>εί</w:t>
      </w:r>
      <w:r w:rsidR="000B22AB" w:rsidRPr="000B22AB">
        <w:rPr>
          <w:rFonts w:cs="Tahoma"/>
          <w:sz w:val="24"/>
          <w:szCs w:val="24"/>
        </w:rPr>
        <w:t>το</w:t>
      </w:r>
      <w:proofErr w:type="spellEnd"/>
      <w:r w:rsidR="000B22AB" w:rsidRPr="000B22AB">
        <w:rPr>
          <w:rFonts w:cs="Tahoma"/>
          <w:sz w:val="24"/>
          <w:szCs w:val="24"/>
        </w:rPr>
        <w:t xml:space="preserve"> στο σχετικό συμβόλαιο το οποίο περιλαμβάνει επίσης 12ετή συντήρηση. Η αίθουσα μπορεί να φιλοξενήσει μέχρι 300 άτομα σε καθιστό γεύμα και μέχρι 500 άτομα σε καθιστή γραμμική διάταξη για διαλέξεις και παρουσιάσεις.</w:t>
      </w:r>
    </w:p>
    <w:p w:rsidR="000B22AB" w:rsidRPr="000B22AB" w:rsidRDefault="000B22AB" w:rsidP="000B22AB">
      <w:pPr>
        <w:spacing w:after="0" w:line="240" w:lineRule="auto"/>
        <w:jc w:val="both"/>
        <w:rPr>
          <w:rFonts w:cs="Tahoma"/>
          <w:sz w:val="24"/>
          <w:szCs w:val="24"/>
        </w:rPr>
      </w:pPr>
    </w:p>
    <w:p w:rsidR="000B22AB" w:rsidRPr="000B22AB" w:rsidRDefault="000B22AB" w:rsidP="000B22AB">
      <w:pPr>
        <w:spacing w:after="0" w:line="240" w:lineRule="auto"/>
        <w:jc w:val="both"/>
        <w:rPr>
          <w:rFonts w:cs="Tahoma"/>
          <w:sz w:val="24"/>
          <w:szCs w:val="24"/>
        </w:rPr>
      </w:pPr>
      <w:r w:rsidRPr="000B22AB">
        <w:rPr>
          <w:rFonts w:cs="Tahoma"/>
          <w:sz w:val="24"/>
          <w:szCs w:val="24"/>
        </w:rPr>
        <w:t>Το κτήριο περιλαμβάνει την κυρίως αίθουσα, τους προθαλάμους και όλους τους απαραίτητους υποστηρικτικούς χώρους, τόσο στο ισόγειο (εμβαδού 750 m²) όσο και στο υπόγειο (εμβαδού 520 m²) καθώς και την διαμόρφωση των εξωτερικών χώρων.</w:t>
      </w:r>
    </w:p>
    <w:p w:rsidR="00737E71" w:rsidRDefault="000B22AB" w:rsidP="000B22AB">
      <w:pPr>
        <w:spacing w:after="0" w:line="240" w:lineRule="auto"/>
        <w:jc w:val="both"/>
        <w:rPr>
          <w:rFonts w:cs="Tahoma"/>
          <w:sz w:val="24"/>
          <w:szCs w:val="24"/>
        </w:rPr>
      </w:pPr>
      <w:r w:rsidRPr="000B22AB">
        <w:rPr>
          <w:rFonts w:cs="Tahoma"/>
          <w:sz w:val="24"/>
          <w:szCs w:val="24"/>
        </w:rPr>
        <w:t>Το κτήριο είναι ενεργειακής απόδοσης κατηγορίας Α και διαθέτει σύγχρονο εξοπλισμό και επίπλωση, καθώς και όλα τα απαραίτ</w:t>
      </w:r>
      <w:r w:rsidR="004D0634">
        <w:rPr>
          <w:rFonts w:cs="Tahoma"/>
          <w:sz w:val="24"/>
          <w:szCs w:val="24"/>
        </w:rPr>
        <w:t xml:space="preserve">ητα για τη χρήση του συστήματα.  </w:t>
      </w:r>
      <w:r w:rsidRPr="000B22AB">
        <w:rPr>
          <w:rFonts w:cs="Tahoma"/>
          <w:sz w:val="24"/>
          <w:szCs w:val="24"/>
        </w:rPr>
        <w:t>Το  Έργο παραλήφθηκε τον Απρίλιο 2012 και έκτοτε έχει φιλοξενήσει τουλάχιστον 30 εκδηλώσεις.</w:t>
      </w:r>
    </w:p>
    <w:p w:rsidR="004D0634" w:rsidRDefault="004D0634" w:rsidP="000B22AB">
      <w:pPr>
        <w:spacing w:after="0" w:line="240" w:lineRule="auto"/>
        <w:jc w:val="both"/>
        <w:rPr>
          <w:rFonts w:cs="Tahoma"/>
          <w:sz w:val="24"/>
          <w:szCs w:val="24"/>
        </w:rPr>
      </w:pPr>
    </w:p>
    <w:p w:rsidR="004D0634" w:rsidRDefault="004D0634" w:rsidP="004D0634">
      <w:pPr>
        <w:spacing w:after="0" w:line="240" w:lineRule="auto"/>
        <w:jc w:val="both"/>
        <w:rPr>
          <w:rFonts w:cs="Tahoma"/>
          <w:sz w:val="24"/>
          <w:szCs w:val="24"/>
        </w:rPr>
      </w:pPr>
      <w:r w:rsidRPr="004D0634">
        <w:rPr>
          <w:rFonts w:cs="Tahoma"/>
          <w:sz w:val="24"/>
          <w:szCs w:val="24"/>
        </w:rPr>
        <w:t xml:space="preserve">Επιπρόσθετα από την έγκαιρη ολοκλήρωση των κτιριακών υποδομών για την Προεδρία, το Υπουργείο Συγκοινωνιών και Έργων μέσω του Τμήματος Δημοσίων  Έργων προώθησε διάφορες βελτιωτικές εργασίες στο κυρίως οδικό δίκτυο της Λευκωσίας με έμφαση στις προσβάσεις των εγκαταστάσεων που θα χρησιμοποιούνταν για σκοπούς εκδηλώσεων της Κυπριακής Προεδρίας. </w:t>
      </w:r>
      <w:r>
        <w:rPr>
          <w:rFonts w:cs="Tahoma"/>
          <w:sz w:val="24"/>
          <w:szCs w:val="24"/>
        </w:rPr>
        <w:t xml:space="preserve"> </w:t>
      </w:r>
      <w:r w:rsidRPr="004D0634">
        <w:rPr>
          <w:rFonts w:cs="Tahoma"/>
          <w:sz w:val="24"/>
          <w:szCs w:val="24"/>
        </w:rPr>
        <w:t xml:space="preserve">Συγκεκριμένα έγιναν επαλείψεις ασφαλτικού τάπητα σε κύριες οδικές αρτηρίες στη Λευκωσία, αποκατάσταση της υφιστάμενης σήμανσης, κατασκευή πεζοδρομίων και ραμπών αναπήρων, βάψιμο κάγκελων και καθαρισμό δρόμων τόσο στο αστικό δίκτυο αλλά και στους αυτοκινητόδρομους. </w:t>
      </w:r>
    </w:p>
    <w:p w:rsidR="004D0634" w:rsidRPr="004D0634" w:rsidRDefault="004D0634" w:rsidP="004D0634">
      <w:pPr>
        <w:spacing w:after="0" w:line="240" w:lineRule="auto"/>
        <w:jc w:val="both"/>
        <w:rPr>
          <w:rFonts w:cs="Tahoma"/>
          <w:sz w:val="24"/>
          <w:szCs w:val="24"/>
        </w:rPr>
      </w:pPr>
    </w:p>
    <w:p w:rsidR="004D0634" w:rsidRPr="00737E71" w:rsidRDefault="004D0634" w:rsidP="004D0634">
      <w:pPr>
        <w:spacing w:after="0" w:line="240" w:lineRule="auto"/>
        <w:jc w:val="both"/>
        <w:rPr>
          <w:rFonts w:cs="Tahoma"/>
          <w:sz w:val="24"/>
          <w:szCs w:val="24"/>
        </w:rPr>
      </w:pPr>
      <w:r w:rsidRPr="004D0634">
        <w:rPr>
          <w:rFonts w:cs="Tahoma"/>
          <w:sz w:val="24"/>
          <w:szCs w:val="24"/>
        </w:rPr>
        <w:t xml:space="preserve">Το Τμήμα Δημοσίων Έργων προχώρησε </w:t>
      </w:r>
      <w:r>
        <w:rPr>
          <w:rFonts w:cs="Tahoma"/>
          <w:sz w:val="24"/>
          <w:szCs w:val="24"/>
        </w:rPr>
        <w:t xml:space="preserve">επίσης </w:t>
      </w:r>
      <w:r w:rsidRPr="004D0634">
        <w:rPr>
          <w:rFonts w:cs="Tahoma"/>
          <w:sz w:val="24"/>
          <w:szCs w:val="24"/>
        </w:rPr>
        <w:t xml:space="preserve">στην κατασκευή τοίχων αντιστήριξης στην Λεωφόρο Λεμεσού και στην </w:t>
      </w:r>
      <w:proofErr w:type="spellStart"/>
      <w:r w:rsidRPr="004D0634">
        <w:rPr>
          <w:rFonts w:cs="Tahoma"/>
          <w:sz w:val="24"/>
          <w:szCs w:val="24"/>
        </w:rPr>
        <w:t>τοπιοτέχνιση</w:t>
      </w:r>
      <w:proofErr w:type="spellEnd"/>
      <w:r w:rsidRPr="004D0634">
        <w:rPr>
          <w:rFonts w:cs="Tahoma"/>
          <w:sz w:val="24"/>
          <w:szCs w:val="24"/>
        </w:rPr>
        <w:t xml:space="preserve"> νησίδων ενώ </w:t>
      </w:r>
      <w:r w:rsidR="00EC16E5">
        <w:rPr>
          <w:rFonts w:cs="Tahoma"/>
          <w:sz w:val="24"/>
          <w:szCs w:val="24"/>
        </w:rPr>
        <w:t>τοποθετήθηκε</w:t>
      </w:r>
      <w:r w:rsidRPr="004D0634">
        <w:rPr>
          <w:rFonts w:cs="Tahoma"/>
          <w:sz w:val="24"/>
          <w:szCs w:val="24"/>
        </w:rPr>
        <w:t xml:space="preserve"> αστικ</w:t>
      </w:r>
      <w:r w:rsidR="00EC16E5">
        <w:rPr>
          <w:rFonts w:cs="Tahoma"/>
          <w:sz w:val="24"/>
          <w:szCs w:val="24"/>
        </w:rPr>
        <w:t>ός εξοπλισμός</w:t>
      </w:r>
      <w:r w:rsidRPr="004D0634">
        <w:rPr>
          <w:rFonts w:cs="Tahoma"/>
          <w:sz w:val="24"/>
          <w:szCs w:val="24"/>
        </w:rPr>
        <w:t xml:space="preserve"> σε δρόμους όπως π.χ. κάλαθοι, παγκάκια, πινακίδες. Με τη συμβολή και του Δήμου </w:t>
      </w:r>
      <w:proofErr w:type="spellStart"/>
      <w:r w:rsidRPr="004D0634">
        <w:rPr>
          <w:rFonts w:cs="Tahoma"/>
          <w:sz w:val="24"/>
          <w:szCs w:val="24"/>
        </w:rPr>
        <w:t>Αγλαντζιάς</w:t>
      </w:r>
      <w:proofErr w:type="spellEnd"/>
      <w:r w:rsidRPr="004D0634">
        <w:rPr>
          <w:rFonts w:cs="Tahoma"/>
          <w:sz w:val="24"/>
          <w:szCs w:val="24"/>
        </w:rPr>
        <w:t xml:space="preserve"> έγινε καθαρισμός και βάψιμο </w:t>
      </w:r>
      <w:proofErr w:type="spellStart"/>
      <w:r w:rsidRPr="004D0634">
        <w:rPr>
          <w:rFonts w:cs="Tahoma"/>
          <w:sz w:val="24"/>
          <w:szCs w:val="24"/>
        </w:rPr>
        <w:t>κρασπεδόλιθων</w:t>
      </w:r>
      <w:proofErr w:type="spellEnd"/>
      <w:r w:rsidRPr="004D0634">
        <w:rPr>
          <w:rFonts w:cs="Tahoma"/>
          <w:sz w:val="24"/>
          <w:szCs w:val="24"/>
        </w:rPr>
        <w:t xml:space="preserve"> παρά το Συνεδριακό Κέντρο, σημαιοστολισμός και βελτίωση των προσβάσεων στις εγκαταστάσεις του Κέντρου καθώς και διαμόρφωση των χώρων στάθμευσης παρά το Συνεδριακό Κέντρο Φιλοξενία.</w:t>
      </w:r>
    </w:p>
    <w:p w:rsidR="000B22AB" w:rsidRDefault="000B22AB" w:rsidP="00737E71">
      <w:pPr>
        <w:spacing w:after="0" w:line="240" w:lineRule="auto"/>
        <w:jc w:val="both"/>
        <w:rPr>
          <w:rFonts w:cs="Tahoma"/>
          <w:sz w:val="24"/>
          <w:szCs w:val="24"/>
        </w:rPr>
      </w:pPr>
    </w:p>
    <w:p w:rsidR="00524ED2" w:rsidRPr="00737E71" w:rsidRDefault="008B196B" w:rsidP="00737E71">
      <w:pPr>
        <w:spacing w:after="0" w:line="240" w:lineRule="auto"/>
        <w:jc w:val="both"/>
        <w:rPr>
          <w:rFonts w:cs="Tahoma"/>
          <w:sz w:val="24"/>
          <w:szCs w:val="24"/>
        </w:rPr>
      </w:pPr>
      <w:r w:rsidRPr="00737E71">
        <w:rPr>
          <w:rFonts w:cs="Tahoma"/>
          <w:sz w:val="24"/>
          <w:szCs w:val="24"/>
        </w:rPr>
        <w:t>Πέρα</w:t>
      </w:r>
      <w:r w:rsidR="004D0634">
        <w:rPr>
          <w:rFonts w:cs="Tahoma"/>
          <w:sz w:val="24"/>
          <w:szCs w:val="24"/>
        </w:rPr>
        <w:t>ν</w:t>
      </w:r>
      <w:r w:rsidRPr="00737E71">
        <w:rPr>
          <w:rFonts w:cs="Tahoma"/>
          <w:sz w:val="24"/>
          <w:szCs w:val="24"/>
        </w:rPr>
        <w:t xml:space="preserve"> </w:t>
      </w:r>
      <w:r w:rsidR="004D0634">
        <w:rPr>
          <w:rFonts w:cs="Tahoma"/>
          <w:sz w:val="24"/>
          <w:szCs w:val="24"/>
        </w:rPr>
        <w:t>από τα πιο πάνω</w:t>
      </w:r>
      <w:r w:rsidRPr="00737E71">
        <w:rPr>
          <w:rFonts w:cs="Tahoma"/>
          <w:sz w:val="24"/>
          <w:szCs w:val="24"/>
        </w:rPr>
        <w:t xml:space="preserve">, </w:t>
      </w:r>
      <w:r w:rsidR="00524ED2" w:rsidRPr="00737E71">
        <w:rPr>
          <w:rFonts w:cs="Tahoma"/>
          <w:sz w:val="24"/>
          <w:szCs w:val="24"/>
        </w:rPr>
        <w:t xml:space="preserve">έγινε κατορθωτή η έγκαιρη παράδοση στην κυκλοφορία των τριών λωρίδων κυκλοφορίας του αυτοκινητόδρομου από την Αλάμπρα μέχρι την είσοδο της Λευκωσίας, έργο που σε συνδυασμό με την κατασκευή του κυκλοφοριακού κόμβου παρά το ΓΣΠ, έχει </w:t>
      </w:r>
      <w:proofErr w:type="spellStart"/>
      <w:r w:rsidR="00524ED2" w:rsidRPr="00737E71">
        <w:rPr>
          <w:rFonts w:cs="Tahoma"/>
          <w:sz w:val="24"/>
          <w:szCs w:val="24"/>
        </w:rPr>
        <w:t>αποσυμφορήσει</w:t>
      </w:r>
      <w:proofErr w:type="spellEnd"/>
      <w:r w:rsidR="00524ED2" w:rsidRPr="00737E71">
        <w:rPr>
          <w:rFonts w:cs="Tahoma"/>
          <w:sz w:val="24"/>
          <w:szCs w:val="24"/>
        </w:rPr>
        <w:t xml:space="preserve"> τη διακίνηση οχημάτων και έχει αυξήσει τα επίπεδα ασφάλειας. </w:t>
      </w:r>
      <w:r w:rsidRPr="00737E71">
        <w:rPr>
          <w:rFonts w:cs="Tahoma"/>
          <w:sz w:val="24"/>
          <w:szCs w:val="24"/>
        </w:rPr>
        <w:t xml:space="preserve"> </w:t>
      </w:r>
      <w:r w:rsidR="00524ED2" w:rsidRPr="00737E71">
        <w:rPr>
          <w:rFonts w:cs="Tahoma"/>
          <w:sz w:val="24"/>
          <w:szCs w:val="24"/>
        </w:rPr>
        <w:t xml:space="preserve">Η κατασκευή πριν από την έναρξη της Προεδρίας του δρόμου αυτού, στον οποίο διακινούνται  καθημερινά 65  χιλιάδες οχήματα, βελτίωσε τη γενική εικόνα στην είσοδο της πρωτεύουσας </w:t>
      </w:r>
      <w:r w:rsidRPr="00737E71">
        <w:rPr>
          <w:rFonts w:cs="Tahoma"/>
          <w:sz w:val="24"/>
          <w:szCs w:val="24"/>
        </w:rPr>
        <w:t>αφήνοντας</w:t>
      </w:r>
      <w:r w:rsidR="00524ED2" w:rsidRPr="00737E71">
        <w:rPr>
          <w:rFonts w:cs="Tahoma"/>
          <w:sz w:val="24"/>
          <w:szCs w:val="24"/>
        </w:rPr>
        <w:t xml:space="preserve"> στο παρελθόν τις τεράστιες ουρές των αυτοκινήτων και τη συνεπακόλουθη ταλαιπωρία των οδηγών.</w:t>
      </w:r>
    </w:p>
    <w:p w:rsidR="00E65580" w:rsidRPr="00737E71" w:rsidRDefault="00E65580" w:rsidP="00737E71">
      <w:pPr>
        <w:spacing w:after="0" w:line="240" w:lineRule="auto"/>
        <w:jc w:val="both"/>
        <w:rPr>
          <w:rFonts w:cs="Tahoma"/>
          <w:sz w:val="24"/>
          <w:szCs w:val="24"/>
        </w:rPr>
      </w:pPr>
    </w:p>
    <w:p w:rsidR="00E65580" w:rsidRDefault="00296487" w:rsidP="00737E71">
      <w:pPr>
        <w:spacing w:after="0" w:line="240" w:lineRule="auto"/>
        <w:jc w:val="both"/>
        <w:rPr>
          <w:rFonts w:cs="Tahoma"/>
          <w:sz w:val="24"/>
          <w:szCs w:val="24"/>
        </w:rPr>
      </w:pPr>
      <w:r w:rsidRPr="00737E71">
        <w:rPr>
          <w:rFonts w:cs="Tahoma"/>
          <w:sz w:val="24"/>
          <w:szCs w:val="24"/>
        </w:rPr>
        <w:t>Επιπρόσθετα,</w:t>
      </w:r>
      <w:r w:rsidR="00E65580" w:rsidRPr="00737E71">
        <w:rPr>
          <w:rFonts w:cs="Tahoma"/>
          <w:sz w:val="24"/>
          <w:szCs w:val="24"/>
        </w:rPr>
        <w:t xml:space="preserve"> το Τμήμα Οδικών Μεταφορών </w:t>
      </w:r>
      <w:r w:rsidR="00EC16E5">
        <w:rPr>
          <w:rFonts w:cs="Tahoma"/>
          <w:sz w:val="24"/>
          <w:szCs w:val="24"/>
        </w:rPr>
        <w:t>είχε</w:t>
      </w:r>
      <w:r w:rsidR="00E65580" w:rsidRPr="00737E71">
        <w:rPr>
          <w:rFonts w:cs="Tahoma"/>
          <w:sz w:val="24"/>
          <w:szCs w:val="24"/>
        </w:rPr>
        <w:t xml:space="preserve"> αναλάβει τον συντονισμό των μεταφορών όλων των επισήμων και των χιλιάδων συνέδρων που θα </w:t>
      </w:r>
      <w:r w:rsidR="001A57C1" w:rsidRPr="00737E71">
        <w:rPr>
          <w:rFonts w:cs="Tahoma"/>
          <w:sz w:val="24"/>
          <w:szCs w:val="24"/>
        </w:rPr>
        <w:t>επισκέ</w:t>
      </w:r>
      <w:r w:rsidR="001A57C1">
        <w:rPr>
          <w:rFonts w:cs="Tahoma"/>
          <w:sz w:val="24"/>
          <w:szCs w:val="24"/>
        </w:rPr>
        <w:t>πτονταν</w:t>
      </w:r>
      <w:r w:rsidR="00EC16E5">
        <w:rPr>
          <w:rFonts w:cs="Tahoma"/>
          <w:sz w:val="24"/>
          <w:szCs w:val="24"/>
        </w:rPr>
        <w:t xml:space="preserve"> </w:t>
      </w:r>
      <w:r w:rsidR="00E65580" w:rsidRPr="00737E71">
        <w:rPr>
          <w:rFonts w:cs="Tahoma"/>
          <w:sz w:val="24"/>
          <w:szCs w:val="24"/>
        </w:rPr>
        <w:t>την Κύπρο κατά την 6μηνη περίοδο της Προεδρίας μας.</w:t>
      </w:r>
      <w:r w:rsidR="008B196B" w:rsidRPr="00737E71">
        <w:rPr>
          <w:rFonts w:cs="Tahoma"/>
          <w:sz w:val="24"/>
          <w:szCs w:val="24"/>
        </w:rPr>
        <w:t xml:space="preserve">  Αξιοσημείωτη είναι επίσης η ευρεία χρήση του συστήματος δημόσιων μεταφορών από τους Ευρωπαίους αντιπροσώπους κατά τη διάρκεια της παραμονής τους στην Κύπρο.</w:t>
      </w:r>
      <w:r w:rsidR="00EC16E5">
        <w:rPr>
          <w:rFonts w:cs="Tahoma"/>
          <w:sz w:val="24"/>
          <w:szCs w:val="24"/>
        </w:rPr>
        <w:t xml:space="preserve">  </w:t>
      </w:r>
    </w:p>
    <w:p w:rsidR="00EC16E5" w:rsidRDefault="00EC16E5" w:rsidP="00737E71">
      <w:pPr>
        <w:spacing w:after="0" w:line="240" w:lineRule="auto"/>
        <w:jc w:val="both"/>
        <w:rPr>
          <w:rFonts w:cs="Tahoma"/>
          <w:sz w:val="24"/>
          <w:szCs w:val="24"/>
        </w:rPr>
      </w:pPr>
    </w:p>
    <w:p w:rsidR="00EC16E5" w:rsidRPr="00EC16E5" w:rsidRDefault="00EC16E5" w:rsidP="00EC16E5">
      <w:pPr>
        <w:spacing w:after="0"/>
        <w:jc w:val="both"/>
        <w:rPr>
          <w:rFonts w:cs="Tahoma"/>
          <w:sz w:val="24"/>
          <w:szCs w:val="24"/>
        </w:rPr>
      </w:pPr>
      <w:r w:rsidRPr="00EC16E5">
        <w:rPr>
          <w:rFonts w:cs="Tahoma"/>
          <w:sz w:val="24"/>
          <w:szCs w:val="24"/>
        </w:rPr>
        <w:t xml:space="preserve">Όλες οι διακινήσεις πραγματοποιήθηκαν με χρονική ακρίβεια και απόλυτη ασφάλεια.  Συγκεκριμένα το Τμήμα Οδικών Μεταφορών διαχειρίστηκε αποτελεσματικά το στόλο των 44 κυβερνητικών οχημάτων που διατέθηκαν για τις μετακινήσεων των υπουργών, των Επιτρόπων και άλλων αξιωματούχων που επισκέφτηκαν την Κύπρο και με δικό του προσωπικό εκτέλεσε τις μετακινήσεις τους και των συνοδειών τους, κυρίως από και προς τα αεροδρόμια.  Μόνο για τις Άτυπες Υπουργικές Συναντήσεις </w:t>
      </w:r>
      <w:r w:rsidRPr="00EC16E5">
        <w:rPr>
          <w:rFonts w:cs="Tahoma"/>
          <w:sz w:val="24"/>
          <w:szCs w:val="24"/>
        </w:rPr>
        <w:lastRenderedPageBreak/>
        <w:t xml:space="preserve">μεταφέρθηκαν περίπου 2.500 πρόσωπα και έγιναν περίπου 2.000 μετακινήσεις με τα εν λόγω οχήματα. </w:t>
      </w:r>
    </w:p>
    <w:p w:rsidR="00EC16E5" w:rsidRPr="00EC16E5" w:rsidRDefault="00EC16E5" w:rsidP="00EC16E5">
      <w:pPr>
        <w:spacing w:after="0"/>
        <w:jc w:val="both"/>
        <w:rPr>
          <w:rFonts w:cs="Tahoma"/>
          <w:sz w:val="24"/>
          <w:szCs w:val="24"/>
        </w:rPr>
      </w:pPr>
    </w:p>
    <w:p w:rsidR="00EC16E5" w:rsidRDefault="00EC16E5" w:rsidP="00EC16E5">
      <w:pPr>
        <w:spacing w:before="60" w:after="0"/>
        <w:jc w:val="both"/>
        <w:rPr>
          <w:rFonts w:cs="Tahoma"/>
          <w:sz w:val="24"/>
          <w:szCs w:val="24"/>
        </w:rPr>
      </w:pPr>
      <w:r w:rsidRPr="00EC16E5">
        <w:rPr>
          <w:rFonts w:cs="Tahoma"/>
          <w:sz w:val="24"/>
          <w:szCs w:val="24"/>
        </w:rPr>
        <w:t xml:space="preserve">Ο κεντρικός συντονισμός γινόταν από προσωπικό του Τμήματος και της Γραμματείας Κυπριακής Προεδρίας, το οποίο συνεργαζόταν με άλλες Υπηρεσίες όπως την Αστυνομία, το Τμήμα Πολιτικής Αεροπορίας και υπηρεσίες του αεροδρομίου.  Όσο αφορά τις άλλες  200 συναντήσεις και δραστηριότητες που πραγματοποιήθηκαν εντός του εξαμήνου, εξυπηρετήθηκαν περίπου 15.000 ξένοι σύνεδροι και έγιναν γύρω στις 85.000 μετακινήσεις προσώπων, περιλαμβανομένων και μετακινήσεων επιβατών μειωμένης κινητικότητας. </w:t>
      </w:r>
      <w:r w:rsidR="0026327B">
        <w:rPr>
          <w:rFonts w:cs="Tahoma"/>
          <w:sz w:val="24"/>
          <w:szCs w:val="24"/>
        </w:rPr>
        <w:t xml:space="preserve"> </w:t>
      </w:r>
    </w:p>
    <w:p w:rsidR="0026327B" w:rsidRDefault="0026327B" w:rsidP="00EC16E5">
      <w:pPr>
        <w:spacing w:before="60" w:after="0"/>
        <w:jc w:val="both"/>
        <w:rPr>
          <w:rFonts w:cs="Tahoma"/>
          <w:sz w:val="24"/>
          <w:szCs w:val="24"/>
        </w:rPr>
      </w:pPr>
    </w:p>
    <w:p w:rsidR="0026327B" w:rsidRPr="0026327B" w:rsidRDefault="0026327B" w:rsidP="0026327B">
      <w:pPr>
        <w:jc w:val="both"/>
        <w:rPr>
          <w:rFonts w:cs="Tahoma"/>
          <w:sz w:val="24"/>
          <w:szCs w:val="24"/>
        </w:rPr>
      </w:pPr>
      <w:r w:rsidRPr="0026327B">
        <w:rPr>
          <w:rFonts w:cs="Tahoma"/>
          <w:sz w:val="24"/>
          <w:szCs w:val="24"/>
        </w:rPr>
        <w:t>Πέρα από τις υποδομές και τις διακινήσεις των Συνέδρων επισημαίνεται ότι το Τμήμα Ταχυδρομικών Υπηρεσιών του Υπουργείου με την ευκαιρία της Κυπριακής Προεδρίας του Συμβουλίου της ΕΕ προχώρησε την 1</w:t>
      </w:r>
      <w:r w:rsidRPr="0026327B">
        <w:rPr>
          <w:rFonts w:cs="Tahoma"/>
          <w:sz w:val="24"/>
          <w:szCs w:val="24"/>
          <w:vertAlign w:val="superscript"/>
        </w:rPr>
        <w:t>η</w:t>
      </w:r>
      <w:r w:rsidRPr="0026327B">
        <w:rPr>
          <w:rFonts w:cs="Tahoma"/>
          <w:sz w:val="24"/>
          <w:szCs w:val="24"/>
        </w:rPr>
        <w:t xml:space="preserve"> Ιουλίου 2012 στην έκδοση γραμματοσήμων. Η σειρά αποτελείτο από ένα γραμματόσημο των €0,51 (50.000) και μια μινιατούρα περιορισμένης ποσότητας (20.000) με ονομαστική αξία €10,00. Κυκλοφόρησαν επίσης Φάκελοι Πρώτης Ημέρα Κυκλοφορίας.</w:t>
      </w:r>
    </w:p>
    <w:p w:rsidR="0026327B" w:rsidRPr="0026327B" w:rsidRDefault="0026327B" w:rsidP="00EC16E5">
      <w:pPr>
        <w:spacing w:before="60" w:after="0"/>
        <w:jc w:val="both"/>
        <w:rPr>
          <w:rFonts w:cs="Tahoma"/>
          <w:sz w:val="24"/>
          <w:szCs w:val="24"/>
        </w:rPr>
      </w:pPr>
    </w:p>
    <w:p w:rsidR="00192F0A" w:rsidRPr="00EC16E5" w:rsidRDefault="00990441" w:rsidP="0051790B">
      <w:pPr>
        <w:jc w:val="both"/>
        <w:rPr>
          <w:rFonts w:cs="Tahoma"/>
          <w:sz w:val="24"/>
          <w:szCs w:val="24"/>
        </w:rPr>
      </w:pPr>
      <w:r w:rsidRPr="00EC16E5">
        <w:rPr>
          <w:rFonts w:cs="Tahoma"/>
          <w:sz w:val="24"/>
          <w:szCs w:val="24"/>
        </w:rPr>
        <w:t xml:space="preserve">Η Κυπριακή Προεδρία </w:t>
      </w:r>
      <w:r w:rsidR="00737E71" w:rsidRPr="00EC16E5">
        <w:rPr>
          <w:rFonts w:cs="Tahoma"/>
          <w:sz w:val="24"/>
          <w:szCs w:val="24"/>
        </w:rPr>
        <w:t>αποτέλεσε</w:t>
      </w:r>
      <w:r w:rsidRPr="00EC16E5">
        <w:rPr>
          <w:rFonts w:cs="Tahoma"/>
          <w:sz w:val="24"/>
          <w:szCs w:val="24"/>
        </w:rPr>
        <w:t xml:space="preserve"> μια μοναδική ευκαιρία προβολής του τόπου μας σε όλο τον ευρωπαϊκό χώρο. </w:t>
      </w:r>
      <w:r w:rsidR="00737E71" w:rsidRPr="00EC16E5">
        <w:rPr>
          <w:rFonts w:cs="Tahoma"/>
          <w:sz w:val="24"/>
          <w:szCs w:val="24"/>
        </w:rPr>
        <w:t xml:space="preserve">Το Τμήμα Αρχαιοτήτων </w:t>
      </w:r>
      <w:r w:rsidR="00192F0A" w:rsidRPr="00EC16E5">
        <w:rPr>
          <w:rFonts w:cs="Tahoma"/>
          <w:sz w:val="24"/>
          <w:szCs w:val="24"/>
        </w:rPr>
        <w:t xml:space="preserve">του Υπουργείου μας </w:t>
      </w:r>
      <w:r w:rsidR="00737E71" w:rsidRPr="00EC16E5">
        <w:rPr>
          <w:rFonts w:cs="Tahoma"/>
          <w:sz w:val="24"/>
          <w:szCs w:val="24"/>
        </w:rPr>
        <w:t xml:space="preserve">διοργάνωσε με ιδιαίτερη επιτυχία </w:t>
      </w:r>
      <w:r w:rsidR="00192F0A" w:rsidRPr="00EC16E5">
        <w:rPr>
          <w:rFonts w:cs="Tahoma"/>
          <w:sz w:val="24"/>
          <w:szCs w:val="24"/>
        </w:rPr>
        <w:t>πέντε</w:t>
      </w:r>
      <w:r w:rsidR="00737E71" w:rsidRPr="00EC16E5">
        <w:rPr>
          <w:rFonts w:cs="Tahoma"/>
          <w:sz w:val="24"/>
          <w:szCs w:val="24"/>
        </w:rPr>
        <w:t xml:space="preserve"> εκθέσεις στο εξωτερικό και μια έκθεση στην Κύπρο με την ευκαιρία της Κυπριακής Προεδρίας του Συμβουλίου της ΕΕ</w:t>
      </w:r>
      <w:r w:rsidR="00192F0A" w:rsidRPr="00EC16E5">
        <w:rPr>
          <w:rFonts w:cs="Tahoma"/>
          <w:sz w:val="24"/>
          <w:szCs w:val="24"/>
        </w:rPr>
        <w:t xml:space="preserve"> προβάλλοντας αξιόλογα αρχαιολογικά εκθεμάτων μας σε κορυφαία μουσεία της Ευρώπης καθώς και στις Ηνωμένες Πολιτείες της Αμερικής.  </w:t>
      </w:r>
    </w:p>
    <w:p w:rsidR="00737E71" w:rsidRPr="00EC16E5" w:rsidRDefault="00737E71" w:rsidP="00737E71">
      <w:pPr>
        <w:pStyle w:val="ListParagraph"/>
        <w:spacing w:after="0" w:line="240" w:lineRule="auto"/>
        <w:ind w:left="0"/>
        <w:jc w:val="both"/>
        <w:rPr>
          <w:rFonts w:cs="Tahoma"/>
          <w:sz w:val="24"/>
          <w:szCs w:val="24"/>
        </w:rPr>
      </w:pPr>
    </w:p>
    <w:p w:rsidR="00192F0A" w:rsidRPr="0038040E" w:rsidRDefault="00192F0A" w:rsidP="00192F0A">
      <w:pPr>
        <w:spacing w:after="0" w:line="240" w:lineRule="auto"/>
        <w:jc w:val="both"/>
        <w:rPr>
          <w:rFonts w:cs="Tahoma"/>
          <w:sz w:val="24"/>
          <w:szCs w:val="24"/>
        </w:rPr>
      </w:pPr>
      <w:r>
        <w:rPr>
          <w:rFonts w:cs="Tahoma"/>
          <w:sz w:val="24"/>
          <w:szCs w:val="24"/>
        </w:rPr>
        <w:t xml:space="preserve">Συγκεκριμένα διοργανώθηκαν </w:t>
      </w:r>
      <w:r w:rsidR="0038040E">
        <w:rPr>
          <w:rFonts w:cs="Tahoma"/>
          <w:sz w:val="24"/>
          <w:szCs w:val="24"/>
        </w:rPr>
        <w:t xml:space="preserve">οι </w:t>
      </w:r>
      <w:r>
        <w:rPr>
          <w:rFonts w:cs="Tahoma"/>
          <w:sz w:val="24"/>
          <w:szCs w:val="24"/>
        </w:rPr>
        <w:t>εκθέσεις</w:t>
      </w:r>
      <w:r w:rsidRPr="0038040E">
        <w:rPr>
          <w:rFonts w:cs="Tahoma"/>
          <w:sz w:val="24"/>
          <w:szCs w:val="24"/>
        </w:rPr>
        <w:t>:</w:t>
      </w:r>
    </w:p>
    <w:p w:rsidR="0038040E" w:rsidRDefault="00192F0A" w:rsidP="0038040E">
      <w:pPr>
        <w:spacing w:after="0" w:line="240" w:lineRule="auto"/>
        <w:ind w:left="567" w:hanging="567"/>
        <w:jc w:val="both"/>
        <w:rPr>
          <w:rFonts w:cs="Tahoma"/>
          <w:sz w:val="24"/>
          <w:szCs w:val="24"/>
        </w:rPr>
      </w:pPr>
      <w:r w:rsidRPr="0038040E">
        <w:rPr>
          <w:rFonts w:cs="Tahoma"/>
          <w:sz w:val="24"/>
          <w:szCs w:val="24"/>
        </w:rPr>
        <w:t>(</w:t>
      </w:r>
      <w:r>
        <w:rPr>
          <w:rFonts w:cs="Tahoma"/>
          <w:sz w:val="24"/>
          <w:szCs w:val="24"/>
        </w:rPr>
        <w:t>α</w:t>
      </w:r>
      <w:r w:rsidRPr="0038040E">
        <w:rPr>
          <w:rFonts w:cs="Tahoma"/>
          <w:sz w:val="24"/>
          <w:szCs w:val="24"/>
        </w:rPr>
        <w:t>)</w:t>
      </w:r>
      <w:r w:rsidR="0038040E">
        <w:rPr>
          <w:rFonts w:cs="Tahoma"/>
          <w:sz w:val="24"/>
          <w:szCs w:val="24"/>
        </w:rPr>
        <w:t xml:space="preserve"> </w:t>
      </w:r>
      <w:r w:rsidR="0038040E">
        <w:rPr>
          <w:rFonts w:cs="Tahoma"/>
          <w:sz w:val="24"/>
          <w:szCs w:val="24"/>
        </w:rPr>
        <w:tab/>
      </w:r>
      <w:r w:rsidR="0051790B" w:rsidRPr="0051790B">
        <w:rPr>
          <w:rFonts w:cs="Tahoma"/>
          <w:sz w:val="24"/>
          <w:szCs w:val="24"/>
        </w:rPr>
        <w:t>“</w:t>
      </w:r>
      <w:r w:rsidR="0038040E" w:rsidRPr="00192F0A">
        <w:rPr>
          <w:rFonts w:cs="Tahoma"/>
          <w:sz w:val="24"/>
          <w:szCs w:val="24"/>
        </w:rPr>
        <w:t>Αρχαία Κύπρος: Διάλογοι Πολιτισμών</w:t>
      </w:r>
      <w:r w:rsidR="0051790B" w:rsidRPr="0051790B">
        <w:rPr>
          <w:rFonts w:cs="Tahoma"/>
          <w:sz w:val="24"/>
          <w:szCs w:val="24"/>
        </w:rPr>
        <w:t>”</w:t>
      </w:r>
      <w:r w:rsidR="0038040E" w:rsidRPr="00192F0A">
        <w:rPr>
          <w:rFonts w:cs="Tahoma"/>
          <w:sz w:val="24"/>
          <w:szCs w:val="24"/>
        </w:rPr>
        <w:t xml:space="preserve"> στα Βασιλικά Μουσεία Τέχνης και Ιστορίας </w:t>
      </w:r>
      <w:r w:rsidR="0038040E">
        <w:rPr>
          <w:rFonts w:cs="Tahoma"/>
          <w:sz w:val="24"/>
          <w:szCs w:val="24"/>
        </w:rPr>
        <w:t>στις Βρυξέλλες</w:t>
      </w:r>
      <w:r w:rsidR="0038040E" w:rsidRPr="00192F0A">
        <w:rPr>
          <w:rFonts w:cs="Tahoma"/>
          <w:sz w:val="24"/>
          <w:szCs w:val="24"/>
        </w:rPr>
        <w:t xml:space="preserve"> </w:t>
      </w:r>
    </w:p>
    <w:p w:rsidR="0038040E" w:rsidRDefault="0038040E" w:rsidP="0038040E">
      <w:pPr>
        <w:spacing w:after="0" w:line="240" w:lineRule="auto"/>
        <w:ind w:left="567" w:hanging="567"/>
        <w:jc w:val="both"/>
        <w:rPr>
          <w:rFonts w:cs="Tahoma"/>
          <w:sz w:val="24"/>
          <w:szCs w:val="24"/>
        </w:rPr>
      </w:pPr>
      <w:r>
        <w:rPr>
          <w:rFonts w:cs="Tahoma"/>
          <w:sz w:val="24"/>
          <w:szCs w:val="24"/>
        </w:rPr>
        <w:t xml:space="preserve">(β) </w:t>
      </w:r>
      <w:r>
        <w:rPr>
          <w:rFonts w:cs="Tahoma"/>
          <w:sz w:val="24"/>
          <w:szCs w:val="24"/>
        </w:rPr>
        <w:tab/>
      </w:r>
      <w:r w:rsidR="0051790B" w:rsidRPr="0051790B">
        <w:rPr>
          <w:rFonts w:cs="Tahoma"/>
          <w:sz w:val="24"/>
          <w:szCs w:val="24"/>
        </w:rPr>
        <w:t>“</w:t>
      </w:r>
      <w:r w:rsidRPr="00737E71">
        <w:rPr>
          <w:rFonts w:cs="Tahoma"/>
          <w:sz w:val="24"/>
          <w:szCs w:val="24"/>
        </w:rPr>
        <w:t xml:space="preserve">Η Κύπρος μεταξύ του Βυζαντίου και της Δύσης, 4ος </w:t>
      </w:r>
      <w:r>
        <w:rPr>
          <w:rFonts w:cs="Tahoma"/>
          <w:sz w:val="24"/>
          <w:szCs w:val="24"/>
        </w:rPr>
        <w:t>έως</w:t>
      </w:r>
      <w:r w:rsidRPr="00737E71">
        <w:rPr>
          <w:rFonts w:cs="Tahoma"/>
          <w:sz w:val="24"/>
          <w:szCs w:val="24"/>
        </w:rPr>
        <w:t xml:space="preserve"> 16ος αι</w:t>
      </w:r>
      <w:r>
        <w:rPr>
          <w:rFonts w:cs="Tahoma"/>
          <w:sz w:val="24"/>
          <w:szCs w:val="24"/>
        </w:rPr>
        <w:t>ώνας</w:t>
      </w:r>
      <w:r w:rsidR="0051790B" w:rsidRPr="0051790B">
        <w:rPr>
          <w:rFonts w:cs="Tahoma"/>
          <w:sz w:val="24"/>
          <w:szCs w:val="24"/>
        </w:rPr>
        <w:t>”</w:t>
      </w:r>
      <w:r w:rsidRPr="00737E71">
        <w:rPr>
          <w:rFonts w:cs="Tahoma"/>
          <w:sz w:val="24"/>
          <w:szCs w:val="24"/>
        </w:rPr>
        <w:t xml:space="preserve"> </w:t>
      </w:r>
      <w:r>
        <w:rPr>
          <w:rFonts w:cs="Tahoma"/>
          <w:sz w:val="24"/>
          <w:szCs w:val="24"/>
        </w:rPr>
        <w:t xml:space="preserve">στο Μουσείο του Λούβρου </w:t>
      </w:r>
    </w:p>
    <w:p w:rsidR="0038040E" w:rsidRDefault="0038040E" w:rsidP="0038040E">
      <w:pPr>
        <w:spacing w:after="0" w:line="240" w:lineRule="auto"/>
        <w:ind w:left="567" w:hanging="567"/>
        <w:jc w:val="both"/>
        <w:rPr>
          <w:rFonts w:cs="Tahoma"/>
          <w:sz w:val="24"/>
          <w:szCs w:val="24"/>
        </w:rPr>
      </w:pPr>
      <w:r>
        <w:rPr>
          <w:rFonts w:cs="Tahoma"/>
          <w:sz w:val="24"/>
          <w:szCs w:val="24"/>
        </w:rPr>
        <w:t>(γ)</w:t>
      </w:r>
      <w:r w:rsidRPr="0038040E">
        <w:rPr>
          <w:rFonts w:cs="Tahoma"/>
          <w:sz w:val="24"/>
          <w:szCs w:val="24"/>
        </w:rPr>
        <w:t xml:space="preserve"> </w:t>
      </w:r>
      <w:r>
        <w:rPr>
          <w:rFonts w:cs="Tahoma"/>
          <w:sz w:val="24"/>
          <w:szCs w:val="24"/>
        </w:rPr>
        <w:t xml:space="preserve"> </w:t>
      </w:r>
      <w:r>
        <w:rPr>
          <w:rFonts w:cs="Tahoma"/>
          <w:sz w:val="24"/>
          <w:szCs w:val="24"/>
        </w:rPr>
        <w:tab/>
      </w:r>
      <w:r w:rsidR="0051790B" w:rsidRPr="0051790B">
        <w:rPr>
          <w:rFonts w:cs="Tahoma"/>
          <w:sz w:val="24"/>
          <w:szCs w:val="24"/>
        </w:rPr>
        <w:t>“</w:t>
      </w:r>
      <w:r w:rsidRPr="00737E71">
        <w:rPr>
          <w:rFonts w:cs="Tahoma"/>
          <w:sz w:val="24"/>
          <w:szCs w:val="24"/>
        </w:rPr>
        <w:t>Κύπρος, το Νησί της Αφροδίτης</w:t>
      </w:r>
      <w:r w:rsidR="0051790B" w:rsidRPr="00EE68B2">
        <w:rPr>
          <w:rFonts w:cs="Tahoma"/>
          <w:sz w:val="24"/>
          <w:szCs w:val="24"/>
        </w:rPr>
        <w:t>”</w:t>
      </w:r>
      <w:r>
        <w:rPr>
          <w:rFonts w:cs="Tahoma"/>
          <w:sz w:val="24"/>
          <w:szCs w:val="24"/>
        </w:rPr>
        <w:t xml:space="preserve"> στη Ρώμη</w:t>
      </w:r>
    </w:p>
    <w:p w:rsidR="0038040E" w:rsidRPr="0026327B" w:rsidRDefault="0038040E" w:rsidP="0038040E">
      <w:pPr>
        <w:spacing w:after="0" w:line="240" w:lineRule="auto"/>
        <w:ind w:left="567" w:hanging="567"/>
        <w:jc w:val="both"/>
        <w:rPr>
          <w:rFonts w:cs="Tahoma"/>
          <w:sz w:val="24"/>
          <w:szCs w:val="24"/>
          <w:lang w:val="en-US"/>
        </w:rPr>
      </w:pPr>
      <w:r w:rsidRPr="0038040E">
        <w:rPr>
          <w:rFonts w:cs="Tahoma"/>
          <w:sz w:val="24"/>
          <w:szCs w:val="24"/>
          <w:lang w:val="en-US"/>
        </w:rPr>
        <w:t>(</w:t>
      </w:r>
      <w:r>
        <w:rPr>
          <w:rFonts w:cs="Tahoma"/>
          <w:sz w:val="24"/>
          <w:szCs w:val="24"/>
        </w:rPr>
        <w:t>δ</w:t>
      </w:r>
      <w:r w:rsidRPr="0038040E">
        <w:rPr>
          <w:rFonts w:cs="Tahoma"/>
          <w:sz w:val="24"/>
          <w:szCs w:val="24"/>
          <w:lang w:val="en-US"/>
        </w:rPr>
        <w:t>)</w:t>
      </w:r>
      <w:r w:rsidRPr="0038040E">
        <w:rPr>
          <w:rFonts w:cs="Tahoma"/>
          <w:sz w:val="24"/>
          <w:szCs w:val="24"/>
          <w:lang w:val="en-US"/>
        </w:rPr>
        <w:tab/>
        <w:t xml:space="preserve">“City of Gold: The Archaeology of Polis </w:t>
      </w:r>
      <w:proofErr w:type="spellStart"/>
      <w:r w:rsidRPr="0038040E">
        <w:rPr>
          <w:rFonts w:cs="Tahoma"/>
          <w:sz w:val="24"/>
          <w:szCs w:val="24"/>
          <w:lang w:val="en-US"/>
        </w:rPr>
        <w:t>Chrysochous</w:t>
      </w:r>
      <w:proofErr w:type="spellEnd"/>
      <w:r w:rsidRPr="0038040E">
        <w:rPr>
          <w:rFonts w:cs="Tahoma"/>
          <w:sz w:val="24"/>
          <w:szCs w:val="24"/>
          <w:lang w:val="en-US"/>
        </w:rPr>
        <w:t xml:space="preserve">, Cyprus” </w:t>
      </w:r>
      <w:r>
        <w:rPr>
          <w:rFonts w:cs="Tahoma"/>
          <w:sz w:val="24"/>
          <w:szCs w:val="24"/>
        </w:rPr>
        <w:t>στις</w:t>
      </w:r>
      <w:r w:rsidRPr="0038040E">
        <w:rPr>
          <w:rFonts w:cs="Tahoma"/>
          <w:sz w:val="24"/>
          <w:szCs w:val="24"/>
          <w:lang w:val="en-US"/>
        </w:rPr>
        <w:t xml:space="preserve"> </w:t>
      </w:r>
      <w:r>
        <w:rPr>
          <w:rFonts w:cs="Tahoma"/>
          <w:sz w:val="24"/>
          <w:szCs w:val="24"/>
        </w:rPr>
        <w:t>Ηνωμένες</w:t>
      </w:r>
      <w:r w:rsidRPr="0038040E">
        <w:rPr>
          <w:rFonts w:cs="Tahoma"/>
          <w:sz w:val="24"/>
          <w:szCs w:val="24"/>
          <w:lang w:val="en-US"/>
        </w:rPr>
        <w:t xml:space="preserve"> </w:t>
      </w:r>
      <w:r>
        <w:rPr>
          <w:rFonts w:cs="Tahoma"/>
          <w:sz w:val="24"/>
          <w:szCs w:val="24"/>
        </w:rPr>
        <w:t>Πολιτείες</w:t>
      </w:r>
      <w:r w:rsidRPr="0038040E">
        <w:rPr>
          <w:rFonts w:cs="Tahoma"/>
          <w:sz w:val="24"/>
          <w:szCs w:val="24"/>
          <w:lang w:val="en-US"/>
        </w:rPr>
        <w:t xml:space="preserve"> </w:t>
      </w:r>
      <w:r>
        <w:rPr>
          <w:rFonts w:cs="Tahoma"/>
          <w:sz w:val="24"/>
          <w:szCs w:val="24"/>
        </w:rPr>
        <w:t>της</w:t>
      </w:r>
      <w:r w:rsidRPr="0038040E">
        <w:rPr>
          <w:rFonts w:cs="Tahoma"/>
          <w:sz w:val="24"/>
          <w:szCs w:val="24"/>
          <w:lang w:val="en-US"/>
        </w:rPr>
        <w:t xml:space="preserve"> </w:t>
      </w:r>
      <w:r>
        <w:rPr>
          <w:rFonts w:cs="Tahoma"/>
          <w:sz w:val="24"/>
          <w:szCs w:val="24"/>
        </w:rPr>
        <w:t>Αμερικής</w:t>
      </w:r>
    </w:p>
    <w:p w:rsidR="0038040E" w:rsidRPr="0038040E" w:rsidRDefault="0038040E" w:rsidP="0038040E">
      <w:pPr>
        <w:spacing w:after="0" w:line="240" w:lineRule="auto"/>
        <w:ind w:left="567" w:hanging="567"/>
        <w:jc w:val="both"/>
        <w:rPr>
          <w:rFonts w:cs="Tahoma"/>
          <w:sz w:val="24"/>
          <w:szCs w:val="24"/>
        </w:rPr>
      </w:pPr>
      <w:r>
        <w:rPr>
          <w:rFonts w:cs="Tahoma"/>
          <w:sz w:val="24"/>
          <w:szCs w:val="24"/>
        </w:rPr>
        <w:t>(ε)</w:t>
      </w:r>
      <w:r>
        <w:rPr>
          <w:rFonts w:cs="Tahoma"/>
          <w:sz w:val="24"/>
          <w:szCs w:val="24"/>
        </w:rPr>
        <w:tab/>
      </w:r>
      <w:r w:rsidR="00EE68B2" w:rsidRPr="00EE68B2">
        <w:rPr>
          <w:rFonts w:cs="Tahoma"/>
          <w:sz w:val="24"/>
          <w:szCs w:val="24"/>
        </w:rPr>
        <w:t>“</w:t>
      </w:r>
      <w:proofErr w:type="spellStart"/>
      <w:r w:rsidRPr="0038040E">
        <w:rPr>
          <w:rFonts w:cs="Tahoma"/>
          <w:sz w:val="24"/>
          <w:szCs w:val="24"/>
        </w:rPr>
        <w:t>anThrOPOS</w:t>
      </w:r>
      <w:proofErr w:type="spellEnd"/>
      <w:r w:rsidRPr="0038040E">
        <w:rPr>
          <w:rFonts w:cs="Tahoma"/>
          <w:sz w:val="24"/>
          <w:szCs w:val="24"/>
        </w:rPr>
        <w:t>: Πρόσωπα της Κύπρου ανά τους Αιώνες</w:t>
      </w:r>
      <w:r w:rsidR="00EE68B2" w:rsidRPr="00EE68B2">
        <w:rPr>
          <w:rFonts w:cs="Tahoma"/>
          <w:sz w:val="24"/>
          <w:szCs w:val="24"/>
        </w:rPr>
        <w:t>”</w:t>
      </w:r>
      <w:r w:rsidRPr="0038040E">
        <w:rPr>
          <w:rFonts w:cs="Tahoma"/>
          <w:sz w:val="24"/>
          <w:szCs w:val="24"/>
        </w:rPr>
        <w:t xml:space="preserve"> στην Αίθουσα Περιοδικών Εκθέσεων του Κυπριακού Μουσείου</w:t>
      </w:r>
    </w:p>
    <w:p w:rsidR="0038040E" w:rsidRPr="001A57C1" w:rsidRDefault="0038040E" w:rsidP="0038040E">
      <w:pPr>
        <w:spacing w:after="0" w:line="240" w:lineRule="auto"/>
        <w:ind w:left="567" w:hanging="567"/>
        <w:jc w:val="both"/>
        <w:rPr>
          <w:rFonts w:cs="Tahoma"/>
          <w:sz w:val="24"/>
          <w:szCs w:val="24"/>
        </w:rPr>
      </w:pPr>
    </w:p>
    <w:p w:rsidR="00192F0A" w:rsidRPr="001A57C1" w:rsidRDefault="00510E4F" w:rsidP="00192F0A">
      <w:pPr>
        <w:spacing w:after="0" w:line="240" w:lineRule="auto"/>
        <w:jc w:val="both"/>
        <w:rPr>
          <w:rFonts w:cs="Tahoma"/>
          <w:sz w:val="24"/>
          <w:szCs w:val="24"/>
        </w:rPr>
      </w:pPr>
      <w:r w:rsidRPr="001A57C1">
        <w:rPr>
          <w:rFonts w:cs="Tahoma"/>
          <w:sz w:val="24"/>
          <w:szCs w:val="24"/>
        </w:rPr>
        <w:t xml:space="preserve">Η προσέλευση στις πιο πάνω εκθέσεις ήταν αθρόα.  </w:t>
      </w:r>
      <w:r w:rsidR="001A57C1" w:rsidRPr="001A57C1">
        <w:rPr>
          <w:rFonts w:cs="Tahoma"/>
          <w:sz w:val="24"/>
          <w:szCs w:val="24"/>
        </w:rPr>
        <w:t xml:space="preserve">Επισημαίνεται μάλιστα ότι στις Βρυξέλλες όπως και στο Κυπριακό Μουσείο </w:t>
      </w:r>
      <w:r w:rsidR="00F47288">
        <w:rPr>
          <w:rFonts w:cs="Tahoma"/>
          <w:sz w:val="24"/>
          <w:szCs w:val="24"/>
        </w:rPr>
        <w:t>η</w:t>
      </w:r>
      <w:r w:rsidR="001A57C1" w:rsidRPr="001A57C1">
        <w:rPr>
          <w:rFonts w:cs="Tahoma"/>
          <w:sz w:val="24"/>
          <w:szCs w:val="24"/>
        </w:rPr>
        <w:t xml:space="preserve"> περίοδος των Εκθέσεων έχει παραταθεί μέχρι τον Μάρτιο. </w:t>
      </w:r>
    </w:p>
    <w:p w:rsidR="00192F0A" w:rsidRPr="0026327B" w:rsidRDefault="00192F0A" w:rsidP="00192F0A">
      <w:pPr>
        <w:spacing w:after="0" w:line="240" w:lineRule="auto"/>
        <w:jc w:val="both"/>
        <w:rPr>
          <w:rFonts w:cs="Tahoma"/>
          <w:color w:val="FF0000"/>
          <w:sz w:val="24"/>
          <w:szCs w:val="24"/>
        </w:rPr>
      </w:pPr>
    </w:p>
    <w:p w:rsidR="00990441" w:rsidRDefault="00F46FFA" w:rsidP="00974EE1">
      <w:pPr>
        <w:pStyle w:val="ListParagraph"/>
        <w:spacing w:after="0" w:line="240" w:lineRule="auto"/>
        <w:ind w:left="0"/>
        <w:jc w:val="both"/>
        <w:rPr>
          <w:rFonts w:eastAsiaTheme="minorHAnsi" w:cs="Tahoma"/>
          <w:bCs w:val="0"/>
          <w:sz w:val="24"/>
          <w:szCs w:val="24"/>
        </w:rPr>
      </w:pPr>
      <w:r>
        <w:rPr>
          <w:rFonts w:cs="Tahoma"/>
          <w:sz w:val="24"/>
          <w:szCs w:val="24"/>
        </w:rPr>
        <w:t xml:space="preserve">Λεπτομέρειες </w:t>
      </w:r>
      <w:r w:rsidRPr="00F46FFA">
        <w:rPr>
          <w:rFonts w:cs="Tahoma"/>
          <w:sz w:val="24"/>
          <w:szCs w:val="24"/>
        </w:rPr>
        <w:t>καταγράφονται στο Ενημερωτικό Δελτίο που ετοίμασε το Κλιμάκιο Ευρωπαϊκών Θεμάτων και το οποίο έχετε ενώπιον σας.</w:t>
      </w:r>
    </w:p>
    <w:sectPr w:rsidR="00990441" w:rsidSect="008306D0">
      <w:footerReference w:type="default" r:id="rId9"/>
      <w:pgSz w:w="11906" w:h="16838"/>
      <w:pgMar w:top="851" w:right="1416" w:bottom="993" w:left="1418" w:header="708"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5C" w:rsidRDefault="00E05A5C" w:rsidP="00572EF9">
      <w:pPr>
        <w:spacing w:after="0" w:line="240" w:lineRule="auto"/>
      </w:pPr>
      <w:r>
        <w:separator/>
      </w:r>
    </w:p>
  </w:endnote>
  <w:endnote w:type="continuationSeparator" w:id="0">
    <w:p w:rsidR="00E05A5C" w:rsidRDefault="00E05A5C" w:rsidP="00572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0751"/>
      <w:docPartObj>
        <w:docPartGallery w:val="Page Numbers (Bottom of Page)"/>
        <w:docPartUnique/>
      </w:docPartObj>
    </w:sdtPr>
    <w:sdtEndPr>
      <w:rPr>
        <w:rFonts w:ascii="Franklin Gothic Medium" w:hAnsi="Franklin Gothic Medium"/>
      </w:rPr>
    </w:sdtEndPr>
    <w:sdtContent>
      <w:p w:rsidR="00E05A5C" w:rsidRDefault="00E52AB3">
        <w:pPr>
          <w:pStyle w:val="Footer"/>
          <w:jc w:val="right"/>
        </w:pPr>
        <w:r w:rsidRPr="00E52AB3">
          <w:rPr>
            <w:sz w:val="14"/>
            <w:szCs w:val="14"/>
          </w:rPr>
          <w:t>ΚΛΙΜΑΚΙΟ ΕΥΡΩΠΑΪΚΩΝ ΘΕΜΑΤΩΝ -</w:t>
        </w:r>
        <w:r>
          <w:t xml:space="preserve">  </w:t>
        </w:r>
        <w:r w:rsidR="002C701F" w:rsidRPr="003A778D">
          <w:rPr>
            <w:rFonts w:ascii="Franklin Gothic Medium" w:hAnsi="Franklin Gothic Medium"/>
          </w:rPr>
          <w:fldChar w:fldCharType="begin"/>
        </w:r>
        <w:r w:rsidR="00E05A5C" w:rsidRPr="003A778D">
          <w:rPr>
            <w:rFonts w:ascii="Franklin Gothic Medium" w:hAnsi="Franklin Gothic Medium"/>
          </w:rPr>
          <w:instrText xml:space="preserve"> PAGE   \* MERGEFORMAT </w:instrText>
        </w:r>
        <w:r w:rsidR="002C701F" w:rsidRPr="003A778D">
          <w:rPr>
            <w:rFonts w:ascii="Franklin Gothic Medium" w:hAnsi="Franklin Gothic Medium"/>
          </w:rPr>
          <w:fldChar w:fldCharType="separate"/>
        </w:r>
        <w:r w:rsidR="00BD2FDA">
          <w:rPr>
            <w:rFonts w:ascii="Franklin Gothic Medium" w:hAnsi="Franklin Gothic Medium"/>
            <w:noProof/>
          </w:rPr>
          <w:t>3</w:t>
        </w:r>
        <w:r w:rsidR="002C701F" w:rsidRPr="003A778D">
          <w:rPr>
            <w:rFonts w:ascii="Franklin Gothic Medium" w:hAnsi="Franklin Gothic Medium"/>
          </w:rPr>
          <w:fldChar w:fldCharType="end"/>
        </w:r>
      </w:p>
    </w:sdtContent>
  </w:sdt>
  <w:p w:rsidR="00E05A5C" w:rsidRDefault="00E05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5C" w:rsidRDefault="00E05A5C" w:rsidP="00572EF9">
      <w:pPr>
        <w:spacing w:after="0" w:line="240" w:lineRule="auto"/>
      </w:pPr>
      <w:r>
        <w:separator/>
      </w:r>
    </w:p>
  </w:footnote>
  <w:footnote w:type="continuationSeparator" w:id="0">
    <w:p w:rsidR="00E05A5C" w:rsidRDefault="00E05A5C" w:rsidP="00572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DD1"/>
    <w:multiLevelType w:val="hybridMultilevel"/>
    <w:tmpl w:val="FB6E49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700C34"/>
    <w:multiLevelType w:val="hybridMultilevel"/>
    <w:tmpl w:val="995A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E3CA2"/>
    <w:multiLevelType w:val="hybridMultilevel"/>
    <w:tmpl w:val="92A419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84135A"/>
    <w:multiLevelType w:val="hybridMultilevel"/>
    <w:tmpl w:val="4A38C66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632913"/>
    <w:multiLevelType w:val="hybridMultilevel"/>
    <w:tmpl w:val="F8CEB460"/>
    <w:lvl w:ilvl="0" w:tplc="041F000F">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D5575E"/>
    <w:multiLevelType w:val="hybridMultilevel"/>
    <w:tmpl w:val="E9F29424"/>
    <w:lvl w:ilvl="0" w:tplc="BA6EA762">
      <w:start w:val="3"/>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F04AB2"/>
    <w:multiLevelType w:val="hybridMultilevel"/>
    <w:tmpl w:val="55F40252"/>
    <w:lvl w:ilvl="0" w:tplc="8612C2AA">
      <w:start w:val="29"/>
      <w:numFmt w:val="bullet"/>
      <w:lvlText w:val="-"/>
      <w:lvlJc w:val="left"/>
      <w:pPr>
        <w:ind w:left="720" w:hanging="360"/>
      </w:pPr>
      <w:rPr>
        <w:rFonts w:ascii="Franklin Gothic Medium" w:eastAsiaTheme="minorHAnsi" w:hAnsi="Franklin Gothic Medium"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DD3352D"/>
    <w:multiLevelType w:val="hybridMultilevel"/>
    <w:tmpl w:val="1890907A"/>
    <w:lvl w:ilvl="0" w:tplc="B770FC34">
      <w:numFmt w:val="bullet"/>
      <w:lvlText w:val="-"/>
      <w:lvlJc w:val="left"/>
      <w:pPr>
        <w:ind w:left="720" w:hanging="360"/>
      </w:pPr>
      <w:rPr>
        <w:rFonts w:ascii="Franklin Gothic Medium" w:eastAsiaTheme="minorHAnsi" w:hAnsi="Franklin Gothic Medium"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86092A"/>
    <w:multiLevelType w:val="hybridMultilevel"/>
    <w:tmpl w:val="39364626"/>
    <w:lvl w:ilvl="0" w:tplc="ABFA3F12">
      <w:start w:val="1"/>
      <w:numFmt w:val="decimal"/>
      <w:lvlText w:val="%1."/>
      <w:lvlJc w:val="left"/>
      <w:pPr>
        <w:tabs>
          <w:tab w:val="num" w:pos="567"/>
        </w:tabs>
        <w:ind w:left="567" w:hanging="567"/>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52D4794"/>
    <w:multiLevelType w:val="hybridMultilevel"/>
    <w:tmpl w:val="25C2DCB0"/>
    <w:lvl w:ilvl="0" w:tplc="1292C24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506494"/>
    <w:multiLevelType w:val="hybridMultilevel"/>
    <w:tmpl w:val="76841A88"/>
    <w:lvl w:ilvl="0" w:tplc="041F000F">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E3242E1"/>
    <w:multiLevelType w:val="hybridMultilevel"/>
    <w:tmpl w:val="008C7A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3240F37"/>
    <w:multiLevelType w:val="hybridMultilevel"/>
    <w:tmpl w:val="D200CF6E"/>
    <w:lvl w:ilvl="0" w:tplc="5A7A72F6">
      <w:start w:val="3"/>
      <w:numFmt w:val="bullet"/>
      <w:lvlText w:val="-"/>
      <w:lvlJc w:val="left"/>
      <w:pPr>
        <w:ind w:left="1080" w:hanging="360"/>
      </w:pPr>
      <w:rPr>
        <w:rFonts w:ascii="Tahoma" w:eastAsia="Calibri"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1B253A9"/>
    <w:multiLevelType w:val="hybridMultilevel"/>
    <w:tmpl w:val="7580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71B10"/>
    <w:multiLevelType w:val="hybridMultilevel"/>
    <w:tmpl w:val="121627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89F6103"/>
    <w:multiLevelType w:val="hybridMultilevel"/>
    <w:tmpl w:val="087A6F5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FA7ED9"/>
    <w:multiLevelType w:val="hybridMultilevel"/>
    <w:tmpl w:val="457E4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15"/>
  </w:num>
  <w:num w:numId="6">
    <w:abstractNumId w:val="3"/>
  </w:num>
  <w:num w:numId="7">
    <w:abstractNumId w:val="9"/>
  </w:num>
  <w:num w:numId="8">
    <w:abstractNumId w:val="4"/>
  </w:num>
  <w:num w:numId="9">
    <w:abstractNumId w:val="2"/>
  </w:num>
  <w:num w:numId="10">
    <w:abstractNumId w:val="16"/>
  </w:num>
  <w:num w:numId="11">
    <w:abstractNumId w:val="11"/>
  </w:num>
  <w:num w:numId="12">
    <w:abstractNumId w:val="0"/>
  </w:num>
  <w:num w:numId="13">
    <w:abstractNumId w:val="13"/>
  </w:num>
  <w:num w:numId="14">
    <w:abstractNumId w:val="6"/>
  </w:num>
  <w:num w:numId="15">
    <w:abstractNumId w:val="7"/>
  </w:num>
  <w:num w:numId="16">
    <w:abstractNumId w:val="1"/>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5E4C"/>
    <w:rsid w:val="000370D7"/>
    <w:rsid w:val="00043159"/>
    <w:rsid w:val="000602AA"/>
    <w:rsid w:val="000604E8"/>
    <w:rsid w:val="0009165A"/>
    <w:rsid w:val="000A0052"/>
    <w:rsid w:val="000A4962"/>
    <w:rsid w:val="000B22AB"/>
    <w:rsid w:val="001173DE"/>
    <w:rsid w:val="00125B08"/>
    <w:rsid w:val="00151FAC"/>
    <w:rsid w:val="001738B8"/>
    <w:rsid w:val="00180DE3"/>
    <w:rsid w:val="00192F0A"/>
    <w:rsid w:val="001A57C1"/>
    <w:rsid w:val="001B5E4C"/>
    <w:rsid w:val="001C161F"/>
    <w:rsid w:val="001D2992"/>
    <w:rsid w:val="001F7E5B"/>
    <w:rsid w:val="00200FB8"/>
    <w:rsid w:val="002027AB"/>
    <w:rsid w:val="00237822"/>
    <w:rsid w:val="002503BE"/>
    <w:rsid w:val="0025650F"/>
    <w:rsid w:val="00260F64"/>
    <w:rsid w:val="0026327B"/>
    <w:rsid w:val="00263EFB"/>
    <w:rsid w:val="00295D35"/>
    <w:rsid w:val="00296487"/>
    <w:rsid w:val="002B1285"/>
    <w:rsid w:val="002C650C"/>
    <w:rsid w:val="002C701F"/>
    <w:rsid w:val="002D1E72"/>
    <w:rsid w:val="002E2E46"/>
    <w:rsid w:val="002F49E3"/>
    <w:rsid w:val="00304C7D"/>
    <w:rsid w:val="00321DD8"/>
    <w:rsid w:val="0032458B"/>
    <w:rsid w:val="003416C5"/>
    <w:rsid w:val="00347A97"/>
    <w:rsid w:val="003765EA"/>
    <w:rsid w:val="0038040E"/>
    <w:rsid w:val="003944D1"/>
    <w:rsid w:val="00396127"/>
    <w:rsid w:val="003A7364"/>
    <w:rsid w:val="003A778D"/>
    <w:rsid w:val="003A7C5C"/>
    <w:rsid w:val="003C6778"/>
    <w:rsid w:val="004031A5"/>
    <w:rsid w:val="004064E7"/>
    <w:rsid w:val="00407970"/>
    <w:rsid w:val="00415A3D"/>
    <w:rsid w:val="00421209"/>
    <w:rsid w:val="00445ED0"/>
    <w:rsid w:val="0047531B"/>
    <w:rsid w:val="00490342"/>
    <w:rsid w:val="0049200C"/>
    <w:rsid w:val="004C5D0E"/>
    <w:rsid w:val="004D0634"/>
    <w:rsid w:val="004E5543"/>
    <w:rsid w:val="004F44CF"/>
    <w:rsid w:val="00500E16"/>
    <w:rsid w:val="00510E4F"/>
    <w:rsid w:val="0051698B"/>
    <w:rsid w:val="0051790B"/>
    <w:rsid w:val="00524ED2"/>
    <w:rsid w:val="00535D2D"/>
    <w:rsid w:val="00537F72"/>
    <w:rsid w:val="00543024"/>
    <w:rsid w:val="005456FE"/>
    <w:rsid w:val="005459D2"/>
    <w:rsid w:val="00555869"/>
    <w:rsid w:val="00572EF9"/>
    <w:rsid w:val="005B1333"/>
    <w:rsid w:val="005E12B7"/>
    <w:rsid w:val="005E5C72"/>
    <w:rsid w:val="00616401"/>
    <w:rsid w:val="00623F2E"/>
    <w:rsid w:val="00640CA3"/>
    <w:rsid w:val="00676A46"/>
    <w:rsid w:val="00677669"/>
    <w:rsid w:val="006852D5"/>
    <w:rsid w:val="006A6D4A"/>
    <w:rsid w:val="006C4476"/>
    <w:rsid w:val="006C56DD"/>
    <w:rsid w:val="006C6258"/>
    <w:rsid w:val="006E0050"/>
    <w:rsid w:val="007141EA"/>
    <w:rsid w:val="00715B7D"/>
    <w:rsid w:val="00737E71"/>
    <w:rsid w:val="0074152B"/>
    <w:rsid w:val="007455A8"/>
    <w:rsid w:val="00750E03"/>
    <w:rsid w:val="00780473"/>
    <w:rsid w:val="007968BB"/>
    <w:rsid w:val="007B5705"/>
    <w:rsid w:val="007C428D"/>
    <w:rsid w:val="00810431"/>
    <w:rsid w:val="00813AE4"/>
    <w:rsid w:val="008306D0"/>
    <w:rsid w:val="00840733"/>
    <w:rsid w:val="00884737"/>
    <w:rsid w:val="008B196B"/>
    <w:rsid w:val="008C3DE0"/>
    <w:rsid w:val="008F3A71"/>
    <w:rsid w:val="008F7BCE"/>
    <w:rsid w:val="00903FC4"/>
    <w:rsid w:val="00940E58"/>
    <w:rsid w:val="00944FCD"/>
    <w:rsid w:val="00954026"/>
    <w:rsid w:val="0096335B"/>
    <w:rsid w:val="009708F7"/>
    <w:rsid w:val="00974EE1"/>
    <w:rsid w:val="00977FAC"/>
    <w:rsid w:val="0098388B"/>
    <w:rsid w:val="009855E2"/>
    <w:rsid w:val="00990441"/>
    <w:rsid w:val="009957FE"/>
    <w:rsid w:val="009A41A2"/>
    <w:rsid w:val="009B2373"/>
    <w:rsid w:val="009C7323"/>
    <w:rsid w:val="00A14778"/>
    <w:rsid w:val="00A1599A"/>
    <w:rsid w:val="00A2095D"/>
    <w:rsid w:val="00A431FF"/>
    <w:rsid w:val="00A51A69"/>
    <w:rsid w:val="00A540F2"/>
    <w:rsid w:val="00A72D56"/>
    <w:rsid w:val="00A76003"/>
    <w:rsid w:val="00A8549E"/>
    <w:rsid w:val="00B06635"/>
    <w:rsid w:val="00B25A31"/>
    <w:rsid w:val="00B34D9B"/>
    <w:rsid w:val="00B37F9E"/>
    <w:rsid w:val="00B479A0"/>
    <w:rsid w:val="00B64807"/>
    <w:rsid w:val="00BA248A"/>
    <w:rsid w:val="00BA7CDD"/>
    <w:rsid w:val="00BD2FDA"/>
    <w:rsid w:val="00BD6B1F"/>
    <w:rsid w:val="00BE498E"/>
    <w:rsid w:val="00C1017D"/>
    <w:rsid w:val="00C562A6"/>
    <w:rsid w:val="00C73E9A"/>
    <w:rsid w:val="00C85E29"/>
    <w:rsid w:val="00C90C0D"/>
    <w:rsid w:val="00CE23E6"/>
    <w:rsid w:val="00D037DA"/>
    <w:rsid w:val="00D07C9F"/>
    <w:rsid w:val="00D164F7"/>
    <w:rsid w:val="00D274DF"/>
    <w:rsid w:val="00D411FE"/>
    <w:rsid w:val="00D4321C"/>
    <w:rsid w:val="00D57A43"/>
    <w:rsid w:val="00D6412E"/>
    <w:rsid w:val="00D73029"/>
    <w:rsid w:val="00D734A2"/>
    <w:rsid w:val="00D824CB"/>
    <w:rsid w:val="00D83FCB"/>
    <w:rsid w:val="00D9319F"/>
    <w:rsid w:val="00D93603"/>
    <w:rsid w:val="00DA3844"/>
    <w:rsid w:val="00DB4E57"/>
    <w:rsid w:val="00DC4D37"/>
    <w:rsid w:val="00DC6600"/>
    <w:rsid w:val="00DD6AB1"/>
    <w:rsid w:val="00DE553D"/>
    <w:rsid w:val="00DF0710"/>
    <w:rsid w:val="00E05A5C"/>
    <w:rsid w:val="00E27266"/>
    <w:rsid w:val="00E52AB3"/>
    <w:rsid w:val="00E568DE"/>
    <w:rsid w:val="00E6245D"/>
    <w:rsid w:val="00E62DF7"/>
    <w:rsid w:val="00E65580"/>
    <w:rsid w:val="00E70F60"/>
    <w:rsid w:val="00EB46A3"/>
    <w:rsid w:val="00EC16E5"/>
    <w:rsid w:val="00EE68B2"/>
    <w:rsid w:val="00EE7284"/>
    <w:rsid w:val="00EF5831"/>
    <w:rsid w:val="00F04627"/>
    <w:rsid w:val="00F12412"/>
    <w:rsid w:val="00F35549"/>
    <w:rsid w:val="00F364C8"/>
    <w:rsid w:val="00F37660"/>
    <w:rsid w:val="00F455F8"/>
    <w:rsid w:val="00F46FFA"/>
    <w:rsid w:val="00F47288"/>
    <w:rsid w:val="00F53E4C"/>
    <w:rsid w:val="00F565CA"/>
    <w:rsid w:val="00FD72EF"/>
    <w:rsid w:val="00FE0580"/>
    <w:rsid w:val="00FF5B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84"/>
    <w:pPr>
      <w:spacing w:after="200" w:line="276" w:lineRule="auto"/>
    </w:pPr>
    <w:rPr>
      <w:bCs/>
      <w:lang w:eastAsia="en-US"/>
    </w:rPr>
  </w:style>
  <w:style w:type="paragraph" w:styleId="Heading1">
    <w:name w:val="heading 1"/>
    <w:basedOn w:val="Normal"/>
    <w:next w:val="Normal"/>
    <w:link w:val="Heading1Char"/>
    <w:qFormat/>
    <w:rsid w:val="00676A46"/>
    <w:pPr>
      <w:keepNext/>
      <w:spacing w:after="0" w:line="240" w:lineRule="auto"/>
      <w:outlineLvl w:val="0"/>
    </w:pPr>
    <w:rPr>
      <w:rFonts w:ascii="Times New Roman" w:eastAsia="Times New Roman" w:hAnsi="Times New Roman"/>
      <w:bCs w:val="0"/>
      <w:sz w:val="28"/>
    </w:rPr>
  </w:style>
  <w:style w:type="paragraph" w:styleId="Heading4">
    <w:name w:val="heading 4"/>
    <w:basedOn w:val="Normal"/>
    <w:next w:val="Normal"/>
    <w:link w:val="Heading4Char"/>
    <w:qFormat/>
    <w:rsid w:val="00676A46"/>
    <w:pPr>
      <w:keepNext/>
      <w:overflowPunct w:val="0"/>
      <w:autoSpaceDE w:val="0"/>
      <w:autoSpaceDN w:val="0"/>
      <w:adjustRightInd w:val="0"/>
      <w:spacing w:after="0" w:line="240" w:lineRule="auto"/>
      <w:jc w:val="right"/>
      <w:outlineLvl w:val="3"/>
    </w:pPr>
    <w:rPr>
      <w:rFonts w:ascii="Arial" w:eastAsia="Arial Unicode MS" w:hAnsi="Arial"/>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84"/>
    <w:pPr>
      <w:ind w:left="720"/>
      <w:contextualSpacing/>
    </w:pPr>
  </w:style>
  <w:style w:type="paragraph" w:customStyle="1" w:styleId="Default">
    <w:name w:val="Default"/>
    <w:rsid w:val="00237822"/>
    <w:pPr>
      <w:autoSpaceDE w:val="0"/>
      <w:autoSpaceDN w:val="0"/>
      <w:adjustRightInd w:val="0"/>
    </w:pPr>
    <w:rPr>
      <w:rFonts w:ascii="Franklin Gothic Medium" w:eastAsia="Times New Roman" w:hAnsi="Franklin Gothic Medium" w:cs="Franklin Gothic Medium"/>
      <w:color w:val="000000"/>
      <w:sz w:val="24"/>
      <w:szCs w:val="24"/>
    </w:rPr>
  </w:style>
  <w:style w:type="paragraph" w:styleId="Header">
    <w:name w:val="header"/>
    <w:basedOn w:val="Normal"/>
    <w:link w:val="HeaderChar"/>
    <w:uiPriority w:val="99"/>
    <w:unhideWhenUsed/>
    <w:rsid w:val="00572EF9"/>
    <w:pPr>
      <w:tabs>
        <w:tab w:val="center" w:pos="4153"/>
        <w:tab w:val="right" w:pos="8306"/>
      </w:tabs>
    </w:pPr>
  </w:style>
  <w:style w:type="character" w:customStyle="1" w:styleId="HeaderChar">
    <w:name w:val="Header Char"/>
    <w:basedOn w:val="DefaultParagraphFont"/>
    <w:link w:val="Header"/>
    <w:uiPriority w:val="99"/>
    <w:rsid w:val="00572EF9"/>
    <w:rPr>
      <w:bCs/>
      <w:lang w:eastAsia="en-US"/>
    </w:rPr>
  </w:style>
  <w:style w:type="paragraph" w:styleId="Footer">
    <w:name w:val="footer"/>
    <w:basedOn w:val="Normal"/>
    <w:link w:val="FooterChar"/>
    <w:uiPriority w:val="99"/>
    <w:unhideWhenUsed/>
    <w:rsid w:val="00572EF9"/>
    <w:pPr>
      <w:tabs>
        <w:tab w:val="center" w:pos="4153"/>
        <w:tab w:val="right" w:pos="8306"/>
      </w:tabs>
    </w:pPr>
  </w:style>
  <w:style w:type="character" w:customStyle="1" w:styleId="FooterChar">
    <w:name w:val="Footer Char"/>
    <w:basedOn w:val="DefaultParagraphFont"/>
    <w:link w:val="Footer"/>
    <w:uiPriority w:val="99"/>
    <w:rsid w:val="00572EF9"/>
    <w:rPr>
      <w:bCs/>
      <w:lang w:eastAsia="en-US"/>
    </w:rPr>
  </w:style>
  <w:style w:type="paragraph" w:styleId="BalloonText">
    <w:name w:val="Balloon Text"/>
    <w:basedOn w:val="Normal"/>
    <w:link w:val="BalloonTextChar"/>
    <w:uiPriority w:val="99"/>
    <w:semiHidden/>
    <w:unhideWhenUsed/>
    <w:rsid w:val="00572EF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72EF9"/>
    <w:rPr>
      <w:rFonts w:cs="Tahoma"/>
      <w:bCs/>
      <w:sz w:val="16"/>
      <w:szCs w:val="16"/>
      <w:lang w:eastAsia="en-US"/>
    </w:rPr>
  </w:style>
  <w:style w:type="character" w:customStyle="1" w:styleId="Heading1Char">
    <w:name w:val="Heading 1 Char"/>
    <w:basedOn w:val="DefaultParagraphFont"/>
    <w:link w:val="Heading1"/>
    <w:rsid w:val="00676A46"/>
    <w:rPr>
      <w:rFonts w:ascii="Times New Roman" w:eastAsia="Times New Roman" w:hAnsi="Times New Roman"/>
      <w:sz w:val="28"/>
      <w:lang w:eastAsia="en-US"/>
    </w:rPr>
  </w:style>
  <w:style w:type="character" w:customStyle="1" w:styleId="Heading4Char">
    <w:name w:val="Heading 4 Char"/>
    <w:basedOn w:val="DefaultParagraphFont"/>
    <w:link w:val="Heading4"/>
    <w:rsid w:val="00676A46"/>
    <w:rPr>
      <w:rFonts w:ascii="Arial" w:eastAsia="Arial Unicode MS" w:hAnsi="Arial"/>
      <w:sz w:val="24"/>
      <w:lang w:eastAsia="en-US"/>
    </w:rPr>
  </w:style>
  <w:style w:type="paragraph" w:customStyle="1" w:styleId="a">
    <w:name w:val="Ετικέτα εγγράφου"/>
    <w:basedOn w:val="Normal"/>
    <w:rsid w:val="00676A46"/>
    <w:pPr>
      <w:keepNext/>
      <w:keepLines/>
      <w:spacing w:before="240" w:after="360" w:line="240" w:lineRule="auto"/>
    </w:pPr>
    <w:rPr>
      <w:rFonts w:ascii="Times New Roman" w:eastAsia="Times New Roman" w:hAnsi="Times New Roman"/>
      <w:b/>
      <w:bCs w:val="0"/>
      <w:kern w:val="2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84"/>
    <w:pPr>
      <w:spacing w:after="200" w:line="276" w:lineRule="auto"/>
    </w:pPr>
    <w:rPr>
      <w:bCs/>
      <w:lang w:eastAsia="en-US"/>
    </w:rPr>
  </w:style>
  <w:style w:type="paragraph" w:styleId="Heading1">
    <w:name w:val="heading 1"/>
    <w:basedOn w:val="Normal"/>
    <w:next w:val="Normal"/>
    <w:link w:val="Heading1Char"/>
    <w:qFormat/>
    <w:rsid w:val="00676A46"/>
    <w:pPr>
      <w:keepNext/>
      <w:spacing w:after="0" w:line="240" w:lineRule="auto"/>
      <w:outlineLvl w:val="0"/>
    </w:pPr>
    <w:rPr>
      <w:rFonts w:ascii="Times New Roman" w:eastAsia="Times New Roman" w:hAnsi="Times New Roman"/>
      <w:bCs w:val="0"/>
      <w:sz w:val="28"/>
    </w:rPr>
  </w:style>
  <w:style w:type="paragraph" w:styleId="Heading4">
    <w:name w:val="heading 4"/>
    <w:basedOn w:val="Normal"/>
    <w:next w:val="Normal"/>
    <w:link w:val="Heading4Char"/>
    <w:qFormat/>
    <w:rsid w:val="00676A46"/>
    <w:pPr>
      <w:keepNext/>
      <w:overflowPunct w:val="0"/>
      <w:autoSpaceDE w:val="0"/>
      <w:autoSpaceDN w:val="0"/>
      <w:adjustRightInd w:val="0"/>
      <w:spacing w:after="0" w:line="240" w:lineRule="auto"/>
      <w:jc w:val="right"/>
      <w:outlineLvl w:val="3"/>
    </w:pPr>
    <w:rPr>
      <w:rFonts w:ascii="Arial" w:eastAsia="Arial Unicode MS" w:hAnsi="Arial"/>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84"/>
    <w:pPr>
      <w:ind w:left="720"/>
      <w:contextualSpacing/>
    </w:pPr>
  </w:style>
  <w:style w:type="paragraph" w:customStyle="1" w:styleId="Default">
    <w:name w:val="Default"/>
    <w:rsid w:val="00237822"/>
    <w:pPr>
      <w:autoSpaceDE w:val="0"/>
      <w:autoSpaceDN w:val="0"/>
      <w:adjustRightInd w:val="0"/>
    </w:pPr>
    <w:rPr>
      <w:rFonts w:ascii="Franklin Gothic Medium" w:eastAsia="Times New Roman" w:hAnsi="Franklin Gothic Medium" w:cs="Franklin Gothic Medium"/>
      <w:color w:val="000000"/>
      <w:sz w:val="24"/>
      <w:szCs w:val="24"/>
    </w:rPr>
  </w:style>
  <w:style w:type="paragraph" w:styleId="Header">
    <w:name w:val="header"/>
    <w:basedOn w:val="Normal"/>
    <w:link w:val="HeaderChar"/>
    <w:uiPriority w:val="99"/>
    <w:unhideWhenUsed/>
    <w:rsid w:val="00572EF9"/>
    <w:pPr>
      <w:tabs>
        <w:tab w:val="center" w:pos="4153"/>
        <w:tab w:val="right" w:pos="8306"/>
      </w:tabs>
    </w:pPr>
  </w:style>
  <w:style w:type="character" w:customStyle="1" w:styleId="HeaderChar">
    <w:name w:val="Header Char"/>
    <w:basedOn w:val="DefaultParagraphFont"/>
    <w:link w:val="Header"/>
    <w:uiPriority w:val="99"/>
    <w:rsid w:val="00572EF9"/>
    <w:rPr>
      <w:bCs/>
      <w:lang w:eastAsia="en-US"/>
    </w:rPr>
  </w:style>
  <w:style w:type="paragraph" w:styleId="Footer">
    <w:name w:val="footer"/>
    <w:basedOn w:val="Normal"/>
    <w:link w:val="FooterChar"/>
    <w:uiPriority w:val="99"/>
    <w:unhideWhenUsed/>
    <w:rsid w:val="00572EF9"/>
    <w:pPr>
      <w:tabs>
        <w:tab w:val="center" w:pos="4153"/>
        <w:tab w:val="right" w:pos="8306"/>
      </w:tabs>
    </w:pPr>
  </w:style>
  <w:style w:type="character" w:customStyle="1" w:styleId="FooterChar">
    <w:name w:val="Footer Char"/>
    <w:basedOn w:val="DefaultParagraphFont"/>
    <w:link w:val="Footer"/>
    <w:uiPriority w:val="99"/>
    <w:rsid w:val="00572EF9"/>
    <w:rPr>
      <w:bCs/>
      <w:lang w:eastAsia="en-US"/>
    </w:rPr>
  </w:style>
  <w:style w:type="paragraph" w:styleId="BalloonText">
    <w:name w:val="Balloon Text"/>
    <w:basedOn w:val="Normal"/>
    <w:link w:val="BalloonTextChar"/>
    <w:uiPriority w:val="99"/>
    <w:semiHidden/>
    <w:unhideWhenUsed/>
    <w:rsid w:val="00572EF9"/>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72EF9"/>
    <w:rPr>
      <w:rFonts w:cs="Tahoma"/>
      <w:bCs/>
      <w:sz w:val="16"/>
      <w:szCs w:val="16"/>
      <w:lang w:eastAsia="en-US"/>
    </w:rPr>
  </w:style>
  <w:style w:type="character" w:customStyle="1" w:styleId="Heading1Char">
    <w:name w:val="Heading 1 Char"/>
    <w:basedOn w:val="DefaultParagraphFont"/>
    <w:link w:val="Heading1"/>
    <w:rsid w:val="00676A46"/>
    <w:rPr>
      <w:rFonts w:ascii="Times New Roman" w:eastAsia="Times New Roman" w:hAnsi="Times New Roman"/>
      <w:sz w:val="28"/>
      <w:lang w:eastAsia="en-US"/>
    </w:rPr>
  </w:style>
  <w:style w:type="character" w:customStyle="1" w:styleId="Heading4Char">
    <w:name w:val="Heading 4 Char"/>
    <w:basedOn w:val="DefaultParagraphFont"/>
    <w:link w:val="Heading4"/>
    <w:rsid w:val="00676A46"/>
    <w:rPr>
      <w:rFonts w:ascii="Arial" w:eastAsia="Arial Unicode MS" w:hAnsi="Arial"/>
      <w:sz w:val="24"/>
      <w:lang w:eastAsia="en-US"/>
    </w:rPr>
  </w:style>
  <w:style w:type="paragraph" w:customStyle="1" w:styleId="a">
    <w:name w:val="Ετικέτα εγγράφου"/>
    <w:basedOn w:val="Normal"/>
    <w:rsid w:val="00676A46"/>
    <w:pPr>
      <w:keepNext/>
      <w:keepLines/>
      <w:spacing w:before="240" w:after="360" w:line="240" w:lineRule="auto"/>
    </w:pPr>
    <w:rPr>
      <w:rFonts w:ascii="Times New Roman" w:eastAsia="Times New Roman" w:hAnsi="Times New Roman"/>
      <w:b/>
      <w:bCs w:val="0"/>
      <w:kern w:val="28"/>
      <w:sz w:val="36"/>
    </w:rPr>
  </w:style>
</w:styles>
</file>

<file path=word/webSettings.xml><?xml version="1.0" encoding="utf-8"?>
<w:webSettings xmlns:r="http://schemas.openxmlformats.org/officeDocument/2006/relationships" xmlns:w="http://schemas.openxmlformats.org/wordprocessingml/2006/main">
  <w:divs>
    <w:div w:id="1209074398">
      <w:bodyDiv w:val="1"/>
      <w:marLeft w:val="0"/>
      <w:marRight w:val="0"/>
      <w:marTop w:val="0"/>
      <w:marBottom w:val="0"/>
      <w:divBdr>
        <w:top w:val="none" w:sz="0" w:space="0" w:color="auto"/>
        <w:left w:val="none" w:sz="0" w:space="0" w:color="auto"/>
        <w:bottom w:val="none" w:sz="0" w:space="0" w:color="auto"/>
        <w:right w:val="none" w:sz="0" w:space="0" w:color="auto"/>
      </w:divBdr>
      <w:divsChild>
        <w:div w:id="246500736">
          <w:marLeft w:val="0"/>
          <w:marRight w:val="0"/>
          <w:marTop w:val="0"/>
          <w:marBottom w:val="0"/>
          <w:divBdr>
            <w:top w:val="none" w:sz="0" w:space="0" w:color="auto"/>
            <w:left w:val="none" w:sz="0" w:space="0" w:color="auto"/>
            <w:bottom w:val="none" w:sz="0" w:space="0" w:color="auto"/>
            <w:right w:val="none" w:sz="0" w:space="0" w:color="auto"/>
          </w:divBdr>
        </w:div>
      </w:divsChild>
    </w:div>
    <w:div w:id="1489707379">
      <w:bodyDiv w:val="1"/>
      <w:marLeft w:val="0"/>
      <w:marRight w:val="0"/>
      <w:marTop w:val="0"/>
      <w:marBottom w:val="0"/>
      <w:divBdr>
        <w:top w:val="none" w:sz="0" w:space="0" w:color="auto"/>
        <w:left w:val="none" w:sz="0" w:space="0" w:color="auto"/>
        <w:bottom w:val="none" w:sz="0" w:space="0" w:color="auto"/>
        <w:right w:val="none" w:sz="0" w:space="0" w:color="auto"/>
      </w:divBdr>
      <w:divsChild>
        <w:div w:id="1147355660">
          <w:marLeft w:val="0"/>
          <w:marRight w:val="0"/>
          <w:marTop w:val="0"/>
          <w:marBottom w:val="0"/>
          <w:divBdr>
            <w:top w:val="none" w:sz="0" w:space="0" w:color="auto"/>
            <w:left w:val="none" w:sz="0" w:space="0" w:color="auto"/>
            <w:bottom w:val="none" w:sz="0" w:space="0" w:color="auto"/>
            <w:right w:val="none" w:sz="0" w:space="0" w:color="auto"/>
          </w:divBdr>
        </w:div>
      </w:divsChild>
    </w:div>
    <w:div w:id="1564488561">
      <w:bodyDiv w:val="1"/>
      <w:marLeft w:val="0"/>
      <w:marRight w:val="0"/>
      <w:marTop w:val="0"/>
      <w:marBottom w:val="0"/>
      <w:divBdr>
        <w:top w:val="none" w:sz="0" w:space="0" w:color="auto"/>
        <w:left w:val="none" w:sz="0" w:space="0" w:color="auto"/>
        <w:bottom w:val="none" w:sz="0" w:space="0" w:color="auto"/>
        <w:right w:val="none" w:sz="0" w:space="0" w:color="auto"/>
      </w:divBdr>
    </w:div>
    <w:div w:id="1619558227">
      <w:bodyDiv w:val="1"/>
      <w:marLeft w:val="0"/>
      <w:marRight w:val="0"/>
      <w:marTop w:val="0"/>
      <w:marBottom w:val="0"/>
      <w:divBdr>
        <w:top w:val="none" w:sz="0" w:space="0" w:color="auto"/>
        <w:left w:val="none" w:sz="0" w:space="0" w:color="auto"/>
        <w:bottom w:val="none" w:sz="0" w:space="0" w:color="auto"/>
        <w:right w:val="none" w:sz="0" w:space="0" w:color="auto"/>
      </w:divBdr>
    </w:div>
    <w:div w:id="2058508277">
      <w:bodyDiv w:val="1"/>
      <w:marLeft w:val="0"/>
      <w:marRight w:val="0"/>
      <w:marTop w:val="0"/>
      <w:marBottom w:val="0"/>
      <w:divBdr>
        <w:top w:val="none" w:sz="0" w:space="0" w:color="auto"/>
        <w:left w:val="none" w:sz="0" w:space="0" w:color="auto"/>
        <w:bottom w:val="none" w:sz="0" w:space="0" w:color="auto"/>
        <w:right w:val="none" w:sz="0" w:space="0" w:color="auto"/>
      </w:divBdr>
      <w:divsChild>
        <w:div w:id="435366151">
          <w:marLeft w:val="0"/>
          <w:marRight w:val="0"/>
          <w:marTop w:val="0"/>
          <w:marBottom w:val="0"/>
          <w:divBdr>
            <w:top w:val="none" w:sz="0" w:space="0" w:color="auto"/>
            <w:left w:val="none" w:sz="0" w:space="0" w:color="auto"/>
            <w:bottom w:val="none" w:sz="0" w:space="0" w:color="auto"/>
            <w:right w:val="none" w:sz="0" w:space="0" w:color="auto"/>
          </w:divBdr>
        </w:div>
      </w:divsChild>
    </w:div>
    <w:div w:id="21420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8B12-057B-4DD8-8872-3F1CCA63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EU Space Policy:</vt:lpstr>
    </vt:vector>
  </TitlesOfParts>
  <Company>HP</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Space Policy:</dc:title>
  <dc:creator>Nicoletta Antoniou</dc:creator>
  <cp:lastModifiedBy>Vassilis Demetriades</cp:lastModifiedBy>
  <cp:revision>6</cp:revision>
  <cp:lastPrinted>2013-01-16T07:39:00Z</cp:lastPrinted>
  <dcterms:created xsi:type="dcterms:W3CDTF">2013-01-16T07:32:00Z</dcterms:created>
  <dcterms:modified xsi:type="dcterms:W3CDTF">2013-01-16T08:03:00Z</dcterms:modified>
</cp:coreProperties>
</file>